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3D4B7" w14:textId="77777777" w:rsidR="00D4513A" w:rsidRDefault="00D4513A" w:rsidP="006E4594">
      <w:pPr>
        <w:pStyle w:val="CMT"/>
        <w:jc w:val="left"/>
      </w:pPr>
    </w:p>
    <w:p w14:paraId="08E46479" w14:textId="77777777" w:rsidR="00BE32F4" w:rsidRDefault="00566F0C" w:rsidP="00BE32F4">
      <w:pPr>
        <w:pStyle w:val="SCT"/>
        <w:jc w:val="center"/>
      </w:pPr>
      <w:r>
        <w:t xml:space="preserve">SECTION </w:t>
      </w:r>
      <w:r w:rsidR="00BE32F4">
        <w:rPr>
          <w:rStyle w:val="NUM"/>
        </w:rPr>
        <w:t>26 56 19</w:t>
      </w:r>
      <w:r>
        <w:t xml:space="preserve"> </w:t>
      </w:r>
    </w:p>
    <w:p w14:paraId="3CEF3054" w14:textId="77777777" w:rsidR="00566F0C" w:rsidRDefault="007D24F6" w:rsidP="00BE32F4">
      <w:pPr>
        <w:pStyle w:val="SCT"/>
        <w:jc w:val="center"/>
      </w:pPr>
      <w:r>
        <w:t xml:space="preserve">LED </w:t>
      </w:r>
      <w:r w:rsidR="00566F0C">
        <w:rPr>
          <w:rStyle w:val="NAM"/>
        </w:rPr>
        <w:t>EXTERIOR LIGHTING</w:t>
      </w:r>
    </w:p>
    <w:p w14:paraId="1F79F970" w14:textId="77777777" w:rsidR="00566F0C" w:rsidRDefault="00566F0C" w:rsidP="00BE32F4">
      <w:pPr>
        <w:pStyle w:val="PRT"/>
        <w:jc w:val="left"/>
      </w:pPr>
      <w:r>
        <w:t>GENERAL</w:t>
      </w:r>
    </w:p>
    <w:p w14:paraId="256310A3" w14:textId="77777777" w:rsidR="00566F0C" w:rsidRDefault="00566F0C" w:rsidP="00BE32F4">
      <w:pPr>
        <w:pStyle w:val="ART"/>
        <w:jc w:val="left"/>
      </w:pPr>
      <w:r>
        <w:t>RELATED DOCUMENTS</w:t>
      </w:r>
    </w:p>
    <w:p w14:paraId="6481F39C" w14:textId="17D17A22" w:rsidR="00566F0C" w:rsidRDefault="00566F0C" w:rsidP="00BE32F4">
      <w:pPr>
        <w:pStyle w:val="CMT"/>
        <w:jc w:val="left"/>
      </w:pPr>
    </w:p>
    <w:p w14:paraId="686BA2ED" w14:textId="77777777" w:rsidR="00566F0C" w:rsidRDefault="00566F0C" w:rsidP="00BE32F4">
      <w:pPr>
        <w:pStyle w:val="PR1"/>
        <w:jc w:val="left"/>
      </w:pPr>
      <w:r>
        <w:t>Drawings and general provisions of the Contract, including General and S</w:t>
      </w:r>
      <w:r w:rsidR="00A92B53">
        <w:t>upplementary</w:t>
      </w:r>
      <w:r>
        <w:t xml:space="preserve"> Conditions and Division 01 Specification Sections, apply to this Section.</w:t>
      </w:r>
    </w:p>
    <w:p w14:paraId="04565696" w14:textId="77777777" w:rsidR="00566F0C" w:rsidRDefault="00566F0C" w:rsidP="00BE32F4">
      <w:pPr>
        <w:pStyle w:val="ART"/>
        <w:jc w:val="left"/>
      </w:pPr>
      <w:r>
        <w:t>SUMMARY</w:t>
      </w:r>
    </w:p>
    <w:p w14:paraId="7F446EF6" w14:textId="77777777" w:rsidR="00566F0C" w:rsidRDefault="00566F0C" w:rsidP="00BE32F4">
      <w:pPr>
        <w:pStyle w:val="PR1"/>
        <w:jc w:val="left"/>
      </w:pPr>
      <w:r>
        <w:t>Section Includes:</w:t>
      </w:r>
    </w:p>
    <w:p w14:paraId="7F61D597" w14:textId="77777777" w:rsidR="00566F0C" w:rsidRDefault="00566F0C" w:rsidP="00BE32F4">
      <w:pPr>
        <w:pStyle w:val="PR2"/>
        <w:spacing w:before="240"/>
        <w:jc w:val="left"/>
      </w:pPr>
      <w:r>
        <w:t>Exterior solid-state luminaires that are designed for and exclusively use LED lamp technology.</w:t>
      </w:r>
    </w:p>
    <w:p w14:paraId="674BF65E" w14:textId="77777777" w:rsidR="00566F0C" w:rsidRDefault="00566F0C" w:rsidP="00BE32F4">
      <w:pPr>
        <w:pStyle w:val="PR2"/>
        <w:jc w:val="left"/>
      </w:pPr>
      <w:r>
        <w:t>Luminaire supports.</w:t>
      </w:r>
    </w:p>
    <w:p w14:paraId="68375F5E" w14:textId="77777777" w:rsidR="00566F0C" w:rsidRDefault="00566F0C" w:rsidP="00BE32F4">
      <w:pPr>
        <w:pStyle w:val="PR2"/>
        <w:jc w:val="left"/>
      </w:pPr>
      <w:r>
        <w:t>Luminaire-mounted photoelectric relays.</w:t>
      </w:r>
    </w:p>
    <w:p w14:paraId="2F529694" w14:textId="77777777" w:rsidR="007D24F6" w:rsidRDefault="007D24F6" w:rsidP="00BE32F4">
      <w:pPr>
        <w:pStyle w:val="PR2"/>
        <w:jc w:val="left"/>
      </w:pPr>
      <w:r>
        <w:t>Luminaire-mounted motion/occupancy sensors.</w:t>
      </w:r>
    </w:p>
    <w:p w14:paraId="19DC4FA8" w14:textId="77777777" w:rsidR="00566F0C" w:rsidRDefault="00566F0C" w:rsidP="00BE32F4">
      <w:pPr>
        <w:pStyle w:val="PR1"/>
        <w:jc w:val="left"/>
      </w:pPr>
      <w:r>
        <w:t>CCT: Correlated color temperature.</w:t>
      </w:r>
    </w:p>
    <w:p w14:paraId="33E8A604" w14:textId="77777777" w:rsidR="00566F0C" w:rsidRDefault="00566F0C" w:rsidP="00BE32F4">
      <w:pPr>
        <w:pStyle w:val="PR1"/>
        <w:jc w:val="left"/>
      </w:pPr>
      <w:r>
        <w:t>CRI: Color rendering index.</w:t>
      </w:r>
    </w:p>
    <w:p w14:paraId="7F35B3F4" w14:textId="77777777" w:rsidR="00566F0C" w:rsidRDefault="00566F0C" w:rsidP="00BE32F4">
      <w:pPr>
        <w:pStyle w:val="PR1"/>
        <w:jc w:val="left"/>
      </w:pPr>
      <w:r>
        <w:t>Fixture: See "Luminaire."</w:t>
      </w:r>
    </w:p>
    <w:p w14:paraId="4A4582F0" w14:textId="77777777" w:rsidR="00566F0C" w:rsidRDefault="00566F0C" w:rsidP="00BE32F4">
      <w:pPr>
        <w:pStyle w:val="PR1"/>
        <w:jc w:val="left"/>
      </w:pPr>
      <w:r>
        <w:t>IP: International Protection or Ingress Protection Rating.</w:t>
      </w:r>
    </w:p>
    <w:p w14:paraId="67BD0F38" w14:textId="77777777" w:rsidR="00566F0C" w:rsidRDefault="00566F0C" w:rsidP="00BE32F4">
      <w:pPr>
        <w:pStyle w:val="PR1"/>
        <w:jc w:val="left"/>
      </w:pPr>
      <w:r>
        <w:t>Lumen: Measured output of lamp and luminaire, or both.</w:t>
      </w:r>
    </w:p>
    <w:p w14:paraId="5AFDD5F9" w14:textId="77777777" w:rsidR="00566F0C" w:rsidRDefault="00566F0C" w:rsidP="00BE32F4">
      <w:pPr>
        <w:pStyle w:val="PR1"/>
        <w:jc w:val="left"/>
      </w:pPr>
      <w:r>
        <w:t>Luminaire: Complete lighting unit, including lamp, reflector, and housing.</w:t>
      </w:r>
    </w:p>
    <w:p w14:paraId="57068A3F" w14:textId="77777777" w:rsidR="00566F0C" w:rsidRDefault="00566F0C" w:rsidP="00BE32F4">
      <w:pPr>
        <w:pStyle w:val="ART"/>
        <w:jc w:val="left"/>
      </w:pPr>
      <w:r>
        <w:t>ACTION SUBMITTALS</w:t>
      </w:r>
    </w:p>
    <w:p w14:paraId="30F27618" w14:textId="77777777" w:rsidR="00566F0C" w:rsidRDefault="00566F0C" w:rsidP="00BE32F4">
      <w:pPr>
        <w:pStyle w:val="PR1"/>
        <w:jc w:val="left"/>
      </w:pPr>
      <w:r>
        <w:t>Product Data: For each type of luminaire.</w:t>
      </w:r>
    </w:p>
    <w:p w14:paraId="60A93D13" w14:textId="77777777" w:rsidR="00566F0C" w:rsidRDefault="00566F0C" w:rsidP="00BE32F4">
      <w:pPr>
        <w:pStyle w:val="PR2"/>
        <w:spacing w:before="240"/>
        <w:jc w:val="left"/>
      </w:pPr>
      <w:r>
        <w:t>Arrange in order of luminaire designation.</w:t>
      </w:r>
    </w:p>
    <w:p w14:paraId="5798F13F" w14:textId="77777777" w:rsidR="00566F0C" w:rsidRDefault="00566F0C" w:rsidP="00BE32F4">
      <w:pPr>
        <w:pStyle w:val="PR2"/>
        <w:jc w:val="left"/>
      </w:pPr>
      <w:r>
        <w:t>Include data on features, accessories, and finishes.</w:t>
      </w:r>
    </w:p>
    <w:p w14:paraId="216BD495" w14:textId="77777777" w:rsidR="00566F0C" w:rsidRDefault="00566F0C" w:rsidP="00BE32F4">
      <w:pPr>
        <w:pStyle w:val="PR2"/>
        <w:jc w:val="left"/>
      </w:pPr>
      <w:r>
        <w:t>Include physical description and dimensions of luminaire.</w:t>
      </w:r>
    </w:p>
    <w:p w14:paraId="40C711AD" w14:textId="77777777" w:rsidR="00566F0C" w:rsidRDefault="00566F0C" w:rsidP="00BE32F4">
      <w:pPr>
        <w:pStyle w:val="PR2"/>
        <w:jc w:val="left"/>
      </w:pPr>
      <w:r>
        <w:t>Lamps, include life, output (lumens, CCT, and CRI), and energy-efficiency data.</w:t>
      </w:r>
    </w:p>
    <w:p w14:paraId="2FFDE082" w14:textId="77777777" w:rsidR="00566F0C" w:rsidRPr="007D24F6" w:rsidRDefault="00566F0C" w:rsidP="00BE32F4">
      <w:pPr>
        <w:pStyle w:val="PR2"/>
        <w:jc w:val="left"/>
      </w:pPr>
      <w:r w:rsidRPr="007D24F6">
        <w:lastRenderedPageBreak/>
        <w:t>Photometric data and adjustment factors based on laboratory tests, complying with IES Lighting Measurements Testing and Calculation Guides, of each luminaire type. The adjustment factors shall be for lamps and accessories identical to those indicated for the luminaire as applied in this Project IES LM-79.</w:t>
      </w:r>
    </w:p>
    <w:p w14:paraId="399A99B8" w14:textId="77777777" w:rsidR="00566F0C" w:rsidRDefault="00566F0C" w:rsidP="00BE32F4">
      <w:pPr>
        <w:pStyle w:val="PR3"/>
        <w:spacing w:before="240"/>
        <w:jc w:val="left"/>
      </w:pPr>
      <w:r>
        <w:t>Testing Agency Certified Data: For indicated luminaires, photometric data certified by a qualified independent testing agency. Photometric data for remaining luminaires shall be certified by manufacturer.</w:t>
      </w:r>
    </w:p>
    <w:p w14:paraId="7B07EE0C" w14:textId="77777777" w:rsidR="00566F0C" w:rsidRDefault="00566F0C" w:rsidP="00BE32F4">
      <w:pPr>
        <w:pStyle w:val="PR2"/>
        <w:spacing w:before="240"/>
        <w:jc w:val="left"/>
      </w:pPr>
      <w:r>
        <w:t>Wiring diagrams for power, control, and signal wiring.</w:t>
      </w:r>
    </w:p>
    <w:p w14:paraId="7A444A20" w14:textId="77777777" w:rsidR="00566F0C" w:rsidRDefault="00566F0C" w:rsidP="00BE32F4">
      <w:pPr>
        <w:pStyle w:val="PR2"/>
        <w:jc w:val="left"/>
      </w:pPr>
      <w:r>
        <w:t>Photoelectric relays.</w:t>
      </w:r>
    </w:p>
    <w:p w14:paraId="28DCB2ED" w14:textId="77777777" w:rsidR="007D24F6" w:rsidRDefault="007D24F6" w:rsidP="00BE32F4">
      <w:pPr>
        <w:pStyle w:val="PR2"/>
        <w:jc w:val="left"/>
      </w:pPr>
      <w:r>
        <w:t>Motion/occupancy sensors.</w:t>
      </w:r>
    </w:p>
    <w:p w14:paraId="35C8E6F8" w14:textId="77777777" w:rsidR="00566F0C" w:rsidRDefault="00566F0C" w:rsidP="00BE32F4">
      <w:pPr>
        <w:pStyle w:val="PR2"/>
        <w:jc w:val="left"/>
      </w:pPr>
      <w:r>
        <w:t>Means of attaching luminaires to supports and indication that the attachment is suitable for components involved.</w:t>
      </w:r>
    </w:p>
    <w:p w14:paraId="0E91F86C" w14:textId="77777777" w:rsidR="00566F0C" w:rsidRDefault="00566F0C" w:rsidP="00BE32F4">
      <w:pPr>
        <w:pStyle w:val="PR1"/>
        <w:jc w:val="left"/>
      </w:pPr>
      <w:r>
        <w:t>Shop Drawings: For nonstandard or custom luminaires.</w:t>
      </w:r>
    </w:p>
    <w:p w14:paraId="10F40A26" w14:textId="77777777" w:rsidR="00566F0C" w:rsidRDefault="00566F0C" w:rsidP="00BE32F4">
      <w:pPr>
        <w:pStyle w:val="PR2"/>
        <w:spacing w:before="240"/>
        <w:jc w:val="left"/>
      </w:pPr>
      <w:r>
        <w:t>Include plans, elevations, sections, and mounting and attachment details.</w:t>
      </w:r>
    </w:p>
    <w:p w14:paraId="7D360F25" w14:textId="77777777" w:rsidR="00566F0C" w:rsidRDefault="00566F0C" w:rsidP="00BE32F4">
      <w:pPr>
        <w:pStyle w:val="PR2"/>
        <w:jc w:val="left"/>
      </w:pPr>
      <w:r>
        <w:t>Include details of luminaire assemblies. Indicate dimensions, weights, loads, required clearances, method of field assembly, components, and location and size of each field connection.</w:t>
      </w:r>
    </w:p>
    <w:p w14:paraId="1DEFF940" w14:textId="77777777" w:rsidR="00566F0C" w:rsidRDefault="00566F0C" w:rsidP="00BE32F4">
      <w:pPr>
        <w:pStyle w:val="PR2"/>
        <w:jc w:val="left"/>
      </w:pPr>
      <w:r>
        <w:t>Include diagrams for power, signal, and control wiring.</w:t>
      </w:r>
    </w:p>
    <w:p w14:paraId="1A39DB01" w14:textId="77777777" w:rsidR="00566F0C" w:rsidRDefault="00566F0C" w:rsidP="00BE32F4">
      <w:pPr>
        <w:pStyle w:val="PR1"/>
        <w:jc w:val="left"/>
      </w:pPr>
      <w:r>
        <w:t>Product Schedule: For luminaires and lamps.</w:t>
      </w:r>
      <w:r>
        <w:rPr>
          <w:b/>
        </w:rPr>
        <w:t> </w:t>
      </w:r>
      <w:r w:rsidRPr="007D24F6">
        <w:t>Use same designations indicated on Drawings.</w:t>
      </w:r>
    </w:p>
    <w:p w14:paraId="3893652B" w14:textId="77777777" w:rsidR="00566F0C" w:rsidRDefault="00566F0C" w:rsidP="00BE32F4">
      <w:pPr>
        <w:pStyle w:val="ART"/>
        <w:jc w:val="left"/>
      </w:pPr>
      <w:r>
        <w:t>INFORMATIONAL SUBMITTALS</w:t>
      </w:r>
    </w:p>
    <w:p w14:paraId="65E7540A" w14:textId="0C48148B" w:rsidR="00566F0C" w:rsidRDefault="00566F0C" w:rsidP="00BE32F4">
      <w:pPr>
        <w:pStyle w:val="PR1"/>
        <w:jc w:val="left"/>
      </w:pPr>
      <w:r>
        <w:t>items are shown and coordinated with each other, using input from installers of the items involved:</w:t>
      </w:r>
    </w:p>
    <w:p w14:paraId="768FE5DC" w14:textId="77777777" w:rsidR="00566F0C" w:rsidRDefault="00566F0C" w:rsidP="00BE32F4">
      <w:pPr>
        <w:pStyle w:val="PR2"/>
        <w:spacing w:before="240"/>
        <w:jc w:val="left"/>
      </w:pPr>
      <w:r>
        <w:t>Luminaires.</w:t>
      </w:r>
    </w:p>
    <w:p w14:paraId="09722E26" w14:textId="77777777" w:rsidR="00566F0C" w:rsidRDefault="00566F0C" w:rsidP="00BE32F4">
      <w:pPr>
        <w:pStyle w:val="PR2"/>
        <w:jc w:val="left"/>
      </w:pPr>
      <w:r>
        <w:t>Structural members to which [</w:t>
      </w:r>
      <w:r>
        <w:rPr>
          <w:b/>
        </w:rPr>
        <w:t>equipment</w:t>
      </w:r>
      <w:r>
        <w:t>] [</w:t>
      </w:r>
      <w:r>
        <w:rPr>
          <w:b/>
        </w:rPr>
        <w:t>and</w:t>
      </w:r>
      <w:r>
        <w:t>] luminaires will be attached.</w:t>
      </w:r>
    </w:p>
    <w:p w14:paraId="7C6119C7" w14:textId="77777777" w:rsidR="00566F0C" w:rsidRDefault="00566F0C" w:rsidP="00BE32F4">
      <w:pPr>
        <w:pStyle w:val="PR2"/>
        <w:jc w:val="left"/>
      </w:pPr>
      <w:r>
        <w:t>Underground utilities and structures.</w:t>
      </w:r>
    </w:p>
    <w:p w14:paraId="3426ED6A" w14:textId="77777777" w:rsidR="00566F0C" w:rsidRDefault="00566F0C" w:rsidP="00BE32F4">
      <w:pPr>
        <w:pStyle w:val="PR2"/>
        <w:jc w:val="left"/>
      </w:pPr>
      <w:r>
        <w:t>Existing underground utilities and structures.</w:t>
      </w:r>
    </w:p>
    <w:p w14:paraId="546EDABE" w14:textId="77777777" w:rsidR="00566F0C" w:rsidRDefault="00566F0C" w:rsidP="00BE32F4">
      <w:pPr>
        <w:pStyle w:val="PR2"/>
        <w:jc w:val="left"/>
      </w:pPr>
      <w:r>
        <w:t>Above-grade utilities and structures.</w:t>
      </w:r>
    </w:p>
    <w:p w14:paraId="3BCA7FB1" w14:textId="77777777" w:rsidR="00566F0C" w:rsidRDefault="00566F0C" w:rsidP="00BE32F4">
      <w:pPr>
        <w:pStyle w:val="PR2"/>
        <w:jc w:val="left"/>
      </w:pPr>
      <w:r>
        <w:t>Existing above-grade utilities and structures.</w:t>
      </w:r>
    </w:p>
    <w:p w14:paraId="62918CE1" w14:textId="77777777" w:rsidR="00566F0C" w:rsidRDefault="00566F0C" w:rsidP="00BE32F4">
      <w:pPr>
        <w:pStyle w:val="PR2"/>
        <w:jc w:val="left"/>
      </w:pPr>
      <w:r>
        <w:t>Building features.</w:t>
      </w:r>
    </w:p>
    <w:p w14:paraId="04D67CF1" w14:textId="77777777" w:rsidR="00566F0C" w:rsidRDefault="00566F0C" w:rsidP="00BE32F4">
      <w:pPr>
        <w:pStyle w:val="PR2"/>
        <w:jc w:val="left"/>
      </w:pPr>
      <w:r>
        <w:t>Vertical and horizontal information.</w:t>
      </w:r>
    </w:p>
    <w:p w14:paraId="5911390F" w14:textId="77777777" w:rsidR="00566F0C" w:rsidRDefault="00566F0C" w:rsidP="00BE32F4">
      <w:pPr>
        <w:pStyle w:val="PR1"/>
        <w:jc w:val="left"/>
      </w:pPr>
      <w:r>
        <w:t>Qualification Data: For testing laboratory providing photometric data for luminaires.</w:t>
      </w:r>
    </w:p>
    <w:p w14:paraId="04C6C72D" w14:textId="77777777" w:rsidR="005229BA" w:rsidRDefault="005229BA" w:rsidP="00BE32F4">
      <w:pPr>
        <w:pStyle w:val="PR1"/>
        <w:jc w:val="left"/>
      </w:pPr>
      <w:r>
        <w:t>Qualification</w:t>
      </w:r>
      <w:r w:rsidRPr="005229BA">
        <w:t xml:space="preserve"> Data: For technician performing lighting system acceptance</w:t>
      </w:r>
      <w:r>
        <w:t xml:space="preserve"> certification.</w:t>
      </w:r>
    </w:p>
    <w:p w14:paraId="58D3AAD7" w14:textId="77777777" w:rsidR="0084321A" w:rsidRDefault="0084321A" w:rsidP="00BE32F4">
      <w:pPr>
        <w:pStyle w:val="PR1"/>
        <w:jc w:val="left"/>
      </w:pPr>
      <w:r>
        <w:t>Seismic Qualification Certificates: For luminaires, accessories, and components, from manufacturer.</w:t>
      </w:r>
    </w:p>
    <w:p w14:paraId="04E54FC9" w14:textId="77777777" w:rsidR="00566F0C" w:rsidRDefault="00566F0C" w:rsidP="00BE32F4">
      <w:pPr>
        <w:pStyle w:val="PR1"/>
        <w:jc w:val="left"/>
      </w:pPr>
      <w:r>
        <w:t>Product Certificates: For each type of the following:</w:t>
      </w:r>
    </w:p>
    <w:p w14:paraId="6C32930E" w14:textId="77777777" w:rsidR="00566F0C" w:rsidRDefault="00566F0C" w:rsidP="00BE32F4">
      <w:pPr>
        <w:pStyle w:val="PR2"/>
        <w:spacing w:before="240"/>
        <w:jc w:val="left"/>
      </w:pPr>
      <w:r>
        <w:lastRenderedPageBreak/>
        <w:t>Luminaire.</w:t>
      </w:r>
    </w:p>
    <w:p w14:paraId="6B407366" w14:textId="77777777" w:rsidR="00566F0C" w:rsidRDefault="00566F0C" w:rsidP="00BE32F4">
      <w:pPr>
        <w:pStyle w:val="PR2"/>
        <w:jc w:val="left"/>
      </w:pPr>
      <w:r>
        <w:t>Photoelectric relay.</w:t>
      </w:r>
    </w:p>
    <w:p w14:paraId="2297FEE0" w14:textId="77777777" w:rsidR="007D24F6" w:rsidRDefault="007D24F6" w:rsidP="00BE32F4">
      <w:pPr>
        <w:pStyle w:val="PR2"/>
        <w:jc w:val="left"/>
      </w:pPr>
      <w:r>
        <w:t>Motion/occupancy sensors.</w:t>
      </w:r>
    </w:p>
    <w:p w14:paraId="3C19A3BA" w14:textId="77777777" w:rsidR="00566F0C" w:rsidRDefault="00566F0C" w:rsidP="00BE32F4">
      <w:pPr>
        <w:pStyle w:val="PR1"/>
        <w:jc w:val="left"/>
      </w:pPr>
      <w:r>
        <w:t xml:space="preserve">Product Test Reports: For each luminaire, for tests performed by </w:t>
      </w:r>
      <w:r w:rsidRPr="007D24F6">
        <w:t>a qualified testing agency</w:t>
      </w:r>
      <w:r>
        <w:t>.</w:t>
      </w:r>
    </w:p>
    <w:p w14:paraId="3EAAF3EE" w14:textId="77777777" w:rsidR="00566F0C" w:rsidRDefault="00566F0C" w:rsidP="00BE32F4">
      <w:pPr>
        <w:pStyle w:val="PR1"/>
        <w:jc w:val="left"/>
      </w:pPr>
      <w:r>
        <w:t>Source quality-control reports.</w:t>
      </w:r>
    </w:p>
    <w:p w14:paraId="3F5CD7BD" w14:textId="77777777" w:rsidR="00566F0C" w:rsidRDefault="00566F0C" w:rsidP="00BE32F4">
      <w:pPr>
        <w:pStyle w:val="PR1"/>
        <w:jc w:val="left"/>
      </w:pPr>
      <w:r>
        <w:t>Sample warranty.</w:t>
      </w:r>
    </w:p>
    <w:p w14:paraId="67CD452D" w14:textId="77777777" w:rsidR="00566F0C" w:rsidRDefault="00566F0C" w:rsidP="00BE32F4">
      <w:pPr>
        <w:pStyle w:val="ART"/>
        <w:jc w:val="left"/>
      </w:pPr>
      <w:r>
        <w:t>CLOSEOUT SUBMITTALS</w:t>
      </w:r>
    </w:p>
    <w:p w14:paraId="48E3AF2E" w14:textId="77777777" w:rsidR="00566F0C" w:rsidRPr="007D24F6" w:rsidRDefault="00566F0C" w:rsidP="00BE32F4">
      <w:pPr>
        <w:pStyle w:val="PR1"/>
        <w:jc w:val="left"/>
      </w:pPr>
      <w:r>
        <w:t>Operation and Maintenance Data: For luminaires</w:t>
      </w:r>
      <w:r w:rsidR="007D24F6">
        <w:t xml:space="preserve">, motion/occupancy sensors, </w:t>
      </w:r>
      <w:r w:rsidR="007D24F6" w:rsidRPr="007D24F6">
        <w:t>a</w:t>
      </w:r>
      <w:r w:rsidRPr="007D24F6">
        <w:t>nd photoelectric relays to include in operation and maintenance manuals.</w:t>
      </w:r>
    </w:p>
    <w:p w14:paraId="61C45DC3" w14:textId="77777777" w:rsidR="00566F0C" w:rsidRDefault="00566F0C" w:rsidP="00BE32F4">
      <w:pPr>
        <w:pStyle w:val="PR2"/>
        <w:spacing w:before="240"/>
        <w:jc w:val="left"/>
      </w:pPr>
      <w:r>
        <w:t>Provide a list of all lamp types used on Project. Use ANSI and manufacturers' codes.</w:t>
      </w:r>
    </w:p>
    <w:p w14:paraId="454DEAD0" w14:textId="77777777" w:rsidR="00566F0C" w:rsidRDefault="00566F0C" w:rsidP="00BE32F4">
      <w:pPr>
        <w:pStyle w:val="PR2"/>
        <w:jc w:val="left"/>
      </w:pPr>
      <w:r>
        <w:t>Provide a list of all photoelectric relay types used on Project; use manufacturers' codes.</w:t>
      </w:r>
    </w:p>
    <w:p w14:paraId="593619C2" w14:textId="77777777" w:rsidR="005229BA" w:rsidRDefault="005229BA" w:rsidP="00BE32F4">
      <w:pPr>
        <w:pStyle w:val="PR1"/>
        <w:jc w:val="left"/>
      </w:pPr>
      <w:r>
        <w:t>Acceptance</w:t>
      </w:r>
      <w:r w:rsidRPr="005229BA">
        <w:t xml:space="preserve"> Testing Certification:  For each interior and exterior space as required by C</w:t>
      </w:r>
      <w:r w:rsidR="00E67593">
        <w:t>BC</w:t>
      </w:r>
      <w:r w:rsidRPr="005229BA">
        <w:t xml:space="preserve"> Title 24 Part</w:t>
      </w:r>
      <w:r>
        <w:t xml:space="preserve"> 6.</w:t>
      </w:r>
    </w:p>
    <w:p w14:paraId="0B870C69" w14:textId="77777777" w:rsidR="00566F0C" w:rsidRDefault="00566F0C" w:rsidP="00BE32F4">
      <w:pPr>
        <w:pStyle w:val="ART"/>
        <w:jc w:val="left"/>
      </w:pPr>
      <w:r>
        <w:t>QUALITY ASSURANCE</w:t>
      </w:r>
    </w:p>
    <w:p w14:paraId="56F3BEF5" w14:textId="77777777" w:rsidR="00566F0C" w:rsidRDefault="00566F0C" w:rsidP="00BE32F4">
      <w:pPr>
        <w:pStyle w:val="PR1"/>
        <w:jc w:val="left"/>
      </w:pPr>
      <w:r>
        <w:t>Luminaire Photometric Data Testing Laboratory Qualifications: Provided by an independent agency, with the experience and capability to conduct the testing indicated, that is an NRTL as defined by OSHA in 29 CFR 1910.7, accredited under the NVLAP for Energy Efficient Lighting Products and complying with applicable IES testing standards.</w:t>
      </w:r>
    </w:p>
    <w:p w14:paraId="5FF19A4A" w14:textId="77777777" w:rsidR="00566F0C" w:rsidRDefault="00566F0C" w:rsidP="00BE32F4">
      <w:pPr>
        <w:pStyle w:val="PR1"/>
        <w:jc w:val="left"/>
      </w:pPr>
      <w:r>
        <w:t>Provide luminaires from a single manufacturer for each luminaire type.</w:t>
      </w:r>
    </w:p>
    <w:p w14:paraId="52B8E831" w14:textId="77777777" w:rsidR="00566F0C" w:rsidRDefault="00566F0C" w:rsidP="00BE32F4">
      <w:pPr>
        <w:pStyle w:val="PR1"/>
        <w:jc w:val="left"/>
      </w:pPr>
      <w:r>
        <w:t>Each luminaire type shall be binned within a three-step MacAdam Ellipse to ensure color consistency among luminaires.</w:t>
      </w:r>
    </w:p>
    <w:p w14:paraId="1AB07B71" w14:textId="77777777" w:rsidR="00566F0C" w:rsidRDefault="00566F0C" w:rsidP="00BE32F4">
      <w:pPr>
        <w:pStyle w:val="ART"/>
        <w:jc w:val="left"/>
      </w:pPr>
      <w:r>
        <w:t>DELIVERY, STORAGE, AND HANDLING</w:t>
      </w:r>
    </w:p>
    <w:p w14:paraId="7F7C5725" w14:textId="77777777" w:rsidR="00566F0C" w:rsidRDefault="00566F0C" w:rsidP="00BE32F4">
      <w:pPr>
        <w:pStyle w:val="PR1"/>
        <w:jc w:val="left"/>
      </w:pPr>
      <w:r>
        <w:t>Protect finishes of exposed surfaces by applying a strippable, temporary protective covering prior to shipping.</w:t>
      </w:r>
    </w:p>
    <w:p w14:paraId="60281004" w14:textId="77777777" w:rsidR="00566F0C" w:rsidRDefault="00566F0C" w:rsidP="00BE32F4">
      <w:pPr>
        <w:pStyle w:val="ART"/>
        <w:jc w:val="left"/>
      </w:pPr>
      <w:r>
        <w:t>FIELD CONDITIONS</w:t>
      </w:r>
    </w:p>
    <w:p w14:paraId="7BFB40BE" w14:textId="77777777" w:rsidR="00566F0C" w:rsidRDefault="00566F0C" w:rsidP="00BE32F4">
      <w:pPr>
        <w:pStyle w:val="PR1"/>
        <w:jc w:val="left"/>
      </w:pPr>
      <w:r>
        <w:t>Verify existing and proposed utility structures prior to the start of work associated with luminaire installation.</w:t>
      </w:r>
    </w:p>
    <w:p w14:paraId="70EFAA50" w14:textId="77777777" w:rsidR="00566F0C" w:rsidRDefault="00566F0C" w:rsidP="00BE32F4">
      <w:pPr>
        <w:pStyle w:val="PR1"/>
        <w:jc w:val="left"/>
      </w:pPr>
      <w:r>
        <w:lastRenderedPageBreak/>
        <w:t>Mark locations of exterior luminaires for approval by Architect prior to the start of luminaire installation.</w:t>
      </w:r>
    </w:p>
    <w:p w14:paraId="3565B17B" w14:textId="77777777" w:rsidR="00566F0C" w:rsidRDefault="00566F0C" w:rsidP="00BE32F4">
      <w:pPr>
        <w:pStyle w:val="ART"/>
        <w:jc w:val="left"/>
      </w:pPr>
      <w:r>
        <w:t>WARRANTY</w:t>
      </w:r>
    </w:p>
    <w:p w14:paraId="19567D40" w14:textId="77777777" w:rsidR="00566F0C" w:rsidRDefault="00566F0C" w:rsidP="00BE32F4">
      <w:pPr>
        <w:pStyle w:val="PR1"/>
        <w:jc w:val="left"/>
      </w:pPr>
      <w:r>
        <w:t>Warranty: Manufacturer and Installer agree to repair or replace components of luminaires that fail in materials or workmanship within specified warranty period.</w:t>
      </w:r>
    </w:p>
    <w:p w14:paraId="260FB141" w14:textId="77777777" w:rsidR="00566F0C" w:rsidRDefault="00566F0C" w:rsidP="00BE32F4">
      <w:pPr>
        <w:pStyle w:val="PR2"/>
        <w:spacing w:before="240"/>
        <w:jc w:val="left"/>
      </w:pPr>
      <w:r>
        <w:t>Failures include:</w:t>
      </w:r>
    </w:p>
    <w:p w14:paraId="430FDC83" w14:textId="77777777" w:rsidR="00566F0C" w:rsidRDefault="00566F0C" w:rsidP="00BE32F4">
      <w:pPr>
        <w:pStyle w:val="PR3"/>
        <w:spacing w:before="240"/>
        <w:jc w:val="left"/>
      </w:pPr>
      <w:r>
        <w:t>Structural failures, including luminaire support components.</w:t>
      </w:r>
    </w:p>
    <w:p w14:paraId="528B5585" w14:textId="77777777" w:rsidR="00566F0C" w:rsidRDefault="00566F0C" w:rsidP="00BE32F4">
      <w:pPr>
        <w:pStyle w:val="PR3"/>
        <w:jc w:val="left"/>
      </w:pPr>
      <w:r>
        <w:t>Faulty operation of luminaires and accessories.</w:t>
      </w:r>
    </w:p>
    <w:p w14:paraId="465CB78B" w14:textId="77777777" w:rsidR="00566F0C" w:rsidRDefault="00566F0C" w:rsidP="00BE32F4">
      <w:pPr>
        <w:pStyle w:val="PR3"/>
        <w:jc w:val="left"/>
      </w:pPr>
      <w:r>
        <w:t>Deterioration of metals, metal finishes, and other materials beyond normal weathering.</w:t>
      </w:r>
    </w:p>
    <w:p w14:paraId="2F1F504A" w14:textId="77777777" w:rsidR="00566F0C" w:rsidRDefault="00566F0C" w:rsidP="00BE32F4">
      <w:pPr>
        <w:pStyle w:val="PR2"/>
        <w:spacing w:before="240"/>
        <w:jc w:val="left"/>
      </w:pPr>
      <w:r>
        <w:t xml:space="preserve">Warranty Period: </w:t>
      </w:r>
      <w:r w:rsidR="007D24F6">
        <w:t>Five</w:t>
      </w:r>
      <w:r>
        <w:t xml:space="preserve"> year(s) from date of Substantial Completion.</w:t>
      </w:r>
    </w:p>
    <w:p w14:paraId="5F57F063" w14:textId="77777777" w:rsidR="00566F0C" w:rsidRDefault="00566F0C" w:rsidP="00BE32F4">
      <w:pPr>
        <w:pStyle w:val="PRT"/>
        <w:jc w:val="left"/>
      </w:pPr>
      <w:r>
        <w:t>PRODUCTS</w:t>
      </w:r>
    </w:p>
    <w:p w14:paraId="698686F6" w14:textId="77777777" w:rsidR="00566F0C" w:rsidRDefault="00566F0C" w:rsidP="00BE32F4">
      <w:pPr>
        <w:pStyle w:val="ART"/>
        <w:jc w:val="left"/>
      </w:pPr>
      <w:r>
        <w:t>LUMINAIRE REQUIREMENTS</w:t>
      </w:r>
    </w:p>
    <w:p w14:paraId="061FEE4C" w14:textId="77777777" w:rsidR="00566F0C" w:rsidRDefault="00566F0C" w:rsidP="00BE32F4">
      <w:pPr>
        <w:pStyle w:val="PR1"/>
        <w:jc w:val="left"/>
      </w:pPr>
      <w:r>
        <w:t>Electrical Components, Devices, and Accessories: Listed and labeled as defined in NFPA 70, by a qualified testing agency, and marked for intended location and application.</w:t>
      </w:r>
    </w:p>
    <w:p w14:paraId="7872C8A3" w14:textId="77777777" w:rsidR="00566F0C" w:rsidRDefault="00566F0C" w:rsidP="00BE32F4">
      <w:pPr>
        <w:pStyle w:val="PR1"/>
        <w:jc w:val="left"/>
      </w:pPr>
      <w:r>
        <w:t>UL Compliance: Comply with UL 1598</w:t>
      </w:r>
      <w:r w:rsidRPr="009D6F4D">
        <w:t> and listed for wet location</w:t>
      </w:r>
      <w:r>
        <w:t>.</w:t>
      </w:r>
    </w:p>
    <w:p w14:paraId="0D34A100" w14:textId="77777777" w:rsidR="00566F0C" w:rsidRDefault="00566F0C" w:rsidP="00BE32F4">
      <w:pPr>
        <w:pStyle w:val="PR1"/>
        <w:jc w:val="left"/>
      </w:pPr>
      <w:r>
        <w:t xml:space="preserve">CRI of </w:t>
      </w:r>
      <w:r w:rsidRPr="007D24F6">
        <w:t>minimum</w:t>
      </w:r>
      <w:r w:rsidR="007D24F6" w:rsidRPr="007D24F6">
        <w:t xml:space="preserve"> </w:t>
      </w:r>
      <w:r w:rsidRPr="007D24F6">
        <w:t>80.</w:t>
      </w:r>
      <w:r>
        <w:t xml:space="preserve"> </w:t>
      </w:r>
      <w:r w:rsidR="007D24F6">
        <w:t xml:space="preserve"> </w:t>
      </w:r>
      <w:r>
        <w:t xml:space="preserve">CCT of </w:t>
      </w:r>
      <w:r w:rsidRPr="009D6F4D">
        <w:t>4100 K</w:t>
      </w:r>
      <w:r>
        <w:t>.</w:t>
      </w:r>
    </w:p>
    <w:p w14:paraId="3711271C" w14:textId="77777777" w:rsidR="00566F0C" w:rsidRDefault="00566F0C" w:rsidP="00BE32F4">
      <w:pPr>
        <w:pStyle w:val="PR1"/>
        <w:jc w:val="left"/>
      </w:pPr>
      <w:r>
        <w:t xml:space="preserve">L70 lamp life of </w:t>
      </w:r>
      <w:r w:rsidRPr="007D24F6">
        <w:t>50,000 hours</w:t>
      </w:r>
      <w:r>
        <w:t>.</w:t>
      </w:r>
    </w:p>
    <w:p w14:paraId="28163A29" w14:textId="77777777" w:rsidR="00566F0C" w:rsidRDefault="00566F0C" w:rsidP="00BE32F4">
      <w:pPr>
        <w:pStyle w:val="PR1"/>
        <w:jc w:val="left"/>
      </w:pPr>
      <w:r>
        <w:t>Lamps dimmable from 100 percent to</w:t>
      </w:r>
      <w:r w:rsidR="0029615C">
        <w:t xml:space="preserve"> 1</w:t>
      </w:r>
      <w:r>
        <w:t>0 percent of maximum light output.</w:t>
      </w:r>
    </w:p>
    <w:p w14:paraId="77C1FA54" w14:textId="77777777" w:rsidR="00566F0C" w:rsidRDefault="00566F0C" w:rsidP="00BE32F4">
      <w:pPr>
        <w:pStyle w:val="PR1"/>
        <w:jc w:val="left"/>
      </w:pPr>
      <w:r>
        <w:t>Internal driver.</w:t>
      </w:r>
    </w:p>
    <w:p w14:paraId="67AD54A3" w14:textId="77777777" w:rsidR="00566F0C" w:rsidRDefault="00566F0C" w:rsidP="00BE32F4">
      <w:pPr>
        <w:pStyle w:val="PR1"/>
        <w:jc w:val="left"/>
      </w:pPr>
      <w:r>
        <w:t>Nominal Operating Voltage: [</w:t>
      </w:r>
      <w:r>
        <w:rPr>
          <w:b/>
        </w:rPr>
        <w:t>120 V ac</w:t>
      </w:r>
      <w:r>
        <w:t>] [</w:t>
      </w:r>
      <w:r>
        <w:rPr>
          <w:b/>
        </w:rPr>
        <w:t>277 V ac</w:t>
      </w:r>
      <w:r>
        <w:t>] [</w:t>
      </w:r>
      <w:r>
        <w:rPr>
          <w:b/>
        </w:rPr>
        <w:t>12 V dc</w:t>
      </w:r>
      <w:r>
        <w:t>] [</w:t>
      </w:r>
      <w:r>
        <w:rPr>
          <w:b/>
        </w:rPr>
        <w:t>24 V dc</w:t>
      </w:r>
      <w:r>
        <w:t>].</w:t>
      </w:r>
    </w:p>
    <w:p w14:paraId="0ADFA285" w14:textId="77777777" w:rsidR="00566F0C" w:rsidRDefault="00566F0C" w:rsidP="00BE32F4">
      <w:pPr>
        <w:pStyle w:val="PR1"/>
        <w:jc w:val="left"/>
      </w:pPr>
      <w:r>
        <w:t xml:space="preserve">In-line Fusing: </w:t>
      </w:r>
      <w:r w:rsidR="0029615C">
        <w:t xml:space="preserve"> </w:t>
      </w:r>
      <w:r w:rsidRPr="0029615C">
        <w:t>Separate in-line fuse for each luminaire</w:t>
      </w:r>
      <w:r>
        <w:t>.</w:t>
      </w:r>
    </w:p>
    <w:p w14:paraId="406A7AE5" w14:textId="77777777" w:rsidR="00566F0C" w:rsidRDefault="00566F0C" w:rsidP="00BE32F4">
      <w:pPr>
        <w:pStyle w:val="PR1"/>
        <w:jc w:val="left"/>
      </w:pPr>
      <w:r>
        <w:t>Lamp Rating: Lamp marked for [</w:t>
      </w:r>
      <w:r>
        <w:rPr>
          <w:b/>
        </w:rPr>
        <w:t>outdoor use</w:t>
      </w:r>
      <w:r>
        <w:t>] [</w:t>
      </w:r>
      <w:r>
        <w:rPr>
          <w:b/>
        </w:rPr>
        <w:t>and</w:t>
      </w:r>
      <w:r>
        <w:t>] [</w:t>
      </w:r>
      <w:r>
        <w:rPr>
          <w:b/>
        </w:rPr>
        <w:t>in enclosed locations</w:t>
      </w:r>
      <w:r>
        <w:t>].</w:t>
      </w:r>
    </w:p>
    <w:p w14:paraId="4FF96DF8" w14:textId="77777777" w:rsidR="00566F0C" w:rsidRDefault="00566F0C" w:rsidP="00BE32F4">
      <w:pPr>
        <w:pStyle w:val="PR1"/>
        <w:jc w:val="left"/>
      </w:pPr>
      <w:r>
        <w:t>Source Limitations: For luminaires, obtain each color, grade, finish, type, and variety of luminaire from single source with resources to provide products of consistent quality in appearance and physical properties.</w:t>
      </w:r>
    </w:p>
    <w:p w14:paraId="2EFCA793" w14:textId="77777777" w:rsidR="00566F0C" w:rsidRDefault="00566F0C" w:rsidP="00BE32F4">
      <w:pPr>
        <w:pStyle w:val="ART"/>
        <w:jc w:val="left"/>
      </w:pPr>
      <w:r>
        <w:lastRenderedPageBreak/>
        <w:t>LUMINAIRE TYPES</w:t>
      </w:r>
    </w:p>
    <w:p w14:paraId="2DB57C22" w14:textId="77777777" w:rsidR="00566F0C" w:rsidRDefault="0029615C" w:rsidP="00BE32F4">
      <w:pPr>
        <w:pStyle w:val="PR1"/>
        <w:jc w:val="left"/>
      </w:pPr>
      <w:r>
        <w:t>Refer to the Lighting Fixture Schedule on the Drawings for features of each specific luminaire type, luminaire options, and acceptable manufacturers.  The use of a manufacturer’s name on the Lighting Fixture Schedule is intended to establish a level of quality and is not intended to limit the selection of equal products from other manufacturers.</w:t>
      </w:r>
    </w:p>
    <w:p w14:paraId="2667F401" w14:textId="77777777" w:rsidR="00566F0C" w:rsidRDefault="00566F0C" w:rsidP="00BE32F4">
      <w:pPr>
        <w:pStyle w:val="ART"/>
        <w:jc w:val="left"/>
      </w:pPr>
      <w:r>
        <w:t>MATERIALS</w:t>
      </w:r>
    </w:p>
    <w:p w14:paraId="7D08810F" w14:textId="77777777" w:rsidR="00566F0C" w:rsidRDefault="00566F0C" w:rsidP="00BE32F4">
      <w:pPr>
        <w:pStyle w:val="PR1"/>
        <w:jc w:val="left"/>
      </w:pPr>
      <w:r>
        <w:t>Metal Parts: Free of burrs and sharp corners and edges.</w:t>
      </w:r>
    </w:p>
    <w:p w14:paraId="4A4C0D37" w14:textId="77777777" w:rsidR="00566F0C" w:rsidRDefault="00566F0C" w:rsidP="00BE32F4">
      <w:pPr>
        <w:pStyle w:val="PR1"/>
        <w:jc w:val="left"/>
      </w:pPr>
      <w:r>
        <w:t>Sheet Metal Components: [</w:t>
      </w:r>
      <w:r>
        <w:rPr>
          <w:b/>
        </w:rPr>
        <w:t>Corrosion-resistant aluminum</w:t>
      </w:r>
      <w:r>
        <w:t>] [</w:t>
      </w:r>
      <w:r>
        <w:rPr>
          <w:b/>
        </w:rPr>
        <w:t>Stainless steel</w:t>
      </w:r>
      <w:r>
        <w:t>] [</w:t>
      </w:r>
      <w:r>
        <w:rPr>
          <w:b/>
        </w:rPr>
        <w:t>Epoxy-coated steel</w:t>
      </w:r>
      <w:r>
        <w:t>] &lt;</w:t>
      </w:r>
      <w:r>
        <w:rPr>
          <w:b/>
        </w:rPr>
        <w:t>Insert material</w:t>
      </w:r>
      <w:r>
        <w:t>&gt;. Form and support to prevent warping and sagging.</w:t>
      </w:r>
    </w:p>
    <w:p w14:paraId="62A3DF0E" w14:textId="77777777" w:rsidR="00566F0C" w:rsidRDefault="00566F0C" w:rsidP="00BE32F4">
      <w:pPr>
        <w:pStyle w:val="PR1"/>
        <w:jc w:val="left"/>
      </w:pPr>
      <w:r>
        <w:t>Doors, Frames, and Other Internal Access: Smooth operating, free of light leakage under operating conditions, and designed to permit relamping without use of tools. Designed to prevent doors, frames, lenses, diffusers, and other components from falling accidentally during relamping and when secured in operating position. Doors shall be removable for cleaning or replacing lenses.</w:t>
      </w:r>
    </w:p>
    <w:p w14:paraId="43B10164" w14:textId="77777777" w:rsidR="00566F0C" w:rsidRDefault="00566F0C" w:rsidP="00BE32F4">
      <w:pPr>
        <w:pStyle w:val="PR1"/>
        <w:jc w:val="left"/>
      </w:pPr>
      <w:r>
        <w:t>Diffusers and Globes:</w:t>
      </w:r>
    </w:p>
    <w:p w14:paraId="263DE63B" w14:textId="77777777" w:rsidR="00566F0C" w:rsidRDefault="00566F0C" w:rsidP="00BE32F4">
      <w:pPr>
        <w:pStyle w:val="PR2"/>
        <w:spacing w:before="240"/>
        <w:jc w:val="left"/>
      </w:pPr>
      <w:r>
        <w:t>Acrylic Diffusers: 100 percent virgin acrylic plastic, with high resistance to yellowing and other changes due to aging, exposure to heat, and UV radiation.</w:t>
      </w:r>
    </w:p>
    <w:p w14:paraId="2FB62067" w14:textId="6CB239EE" w:rsidR="00566F0C" w:rsidRDefault="00566F0C" w:rsidP="00BE32F4">
      <w:pPr>
        <w:pStyle w:val="CMT"/>
        <w:jc w:val="left"/>
      </w:pPr>
    </w:p>
    <w:p w14:paraId="7905E761" w14:textId="77777777" w:rsidR="00566F0C" w:rsidRDefault="00566F0C" w:rsidP="00BE32F4">
      <w:pPr>
        <w:pStyle w:val="PR2"/>
        <w:jc w:val="left"/>
      </w:pPr>
      <w:r>
        <w:t>Glass: Annealed crystal glass unless otherwise indicated.</w:t>
      </w:r>
    </w:p>
    <w:p w14:paraId="460C1481" w14:textId="77777777" w:rsidR="00566F0C" w:rsidRDefault="00566F0C" w:rsidP="00BE32F4">
      <w:pPr>
        <w:pStyle w:val="PR2"/>
        <w:jc w:val="left"/>
      </w:pPr>
      <w:r>
        <w:t xml:space="preserve">Lens Thickness: At least </w:t>
      </w:r>
      <w:r w:rsidR="00BE32F4">
        <w:rPr>
          <w:rStyle w:val="IP"/>
        </w:rPr>
        <w:t>0.125 inch</w:t>
      </w:r>
      <w:r>
        <w:t xml:space="preserve"> minimum unless otherwise indicated.</w:t>
      </w:r>
    </w:p>
    <w:p w14:paraId="6B939089" w14:textId="77777777" w:rsidR="00566F0C" w:rsidRDefault="00566F0C" w:rsidP="00BE32F4">
      <w:pPr>
        <w:pStyle w:val="PR1"/>
        <w:jc w:val="left"/>
      </w:pPr>
      <w:r>
        <w:t>Lens and Refractor Gaskets: Use heat- and aging-resistant resilient gaskets to seal and cushion lenses and refractors in luminaire doors.</w:t>
      </w:r>
    </w:p>
    <w:p w14:paraId="171CD367" w14:textId="77777777" w:rsidR="00566F0C" w:rsidRDefault="00566F0C" w:rsidP="00BE32F4">
      <w:pPr>
        <w:pStyle w:val="PR1"/>
        <w:jc w:val="left"/>
      </w:pPr>
      <w:r>
        <w:t>Reflecting surfaces shall have minimum reflectance as follows unless otherwise indicated:</w:t>
      </w:r>
    </w:p>
    <w:p w14:paraId="47E6E52B" w14:textId="77777777" w:rsidR="00566F0C" w:rsidRDefault="00566F0C" w:rsidP="00BE32F4">
      <w:pPr>
        <w:pStyle w:val="PR2"/>
        <w:spacing w:before="240"/>
        <w:jc w:val="left"/>
      </w:pPr>
      <w:r>
        <w:t>White Surfaces: 85 percent.</w:t>
      </w:r>
    </w:p>
    <w:p w14:paraId="7FF278C9" w14:textId="77777777" w:rsidR="00566F0C" w:rsidRDefault="00566F0C" w:rsidP="00BE32F4">
      <w:pPr>
        <w:pStyle w:val="PR2"/>
        <w:jc w:val="left"/>
      </w:pPr>
      <w:r>
        <w:t>Specular Surfaces: 83 percent.</w:t>
      </w:r>
    </w:p>
    <w:p w14:paraId="1410B2E1" w14:textId="77777777" w:rsidR="00566F0C" w:rsidRDefault="00566F0C" w:rsidP="00BE32F4">
      <w:pPr>
        <w:pStyle w:val="PR2"/>
        <w:jc w:val="left"/>
      </w:pPr>
      <w:r>
        <w:t>Diffusing Specular Surfaces: 75 percent.</w:t>
      </w:r>
    </w:p>
    <w:p w14:paraId="5FAB1EF4" w14:textId="77777777" w:rsidR="00566F0C" w:rsidRDefault="00566F0C" w:rsidP="00BE32F4">
      <w:pPr>
        <w:pStyle w:val="PR1"/>
        <w:jc w:val="left"/>
      </w:pPr>
      <w:r>
        <w:t>Housings:</w:t>
      </w:r>
    </w:p>
    <w:p w14:paraId="42CF5FD7" w14:textId="77777777" w:rsidR="00566F0C" w:rsidRDefault="00566F0C" w:rsidP="00BE32F4">
      <w:pPr>
        <w:pStyle w:val="PR2"/>
        <w:spacing w:before="240"/>
        <w:jc w:val="left"/>
      </w:pPr>
      <w:r>
        <w:t>Rigidly formed, weather- and light-tight enclosure that will not warp, sag, or deform in use.</w:t>
      </w:r>
    </w:p>
    <w:p w14:paraId="289C95D8" w14:textId="77777777" w:rsidR="00566F0C" w:rsidRDefault="00566F0C" w:rsidP="00BE32F4">
      <w:pPr>
        <w:pStyle w:val="PR2"/>
        <w:jc w:val="left"/>
      </w:pPr>
      <w:r>
        <w:t>Provide filter/breather for enclosed luminaires.</w:t>
      </w:r>
    </w:p>
    <w:p w14:paraId="1A2D5809" w14:textId="77777777" w:rsidR="00566F0C" w:rsidRDefault="00566F0C" w:rsidP="00BE32F4">
      <w:pPr>
        <w:pStyle w:val="PR1"/>
        <w:jc w:val="left"/>
      </w:pPr>
      <w:r>
        <w:lastRenderedPageBreak/>
        <w:t>Factory-Applied Labels: Comply with UL 1598. Include recommended lamps. Labels shall be located where they will be readily visible to service personnel, but not seen from normal viewing angles when lamps are in place.</w:t>
      </w:r>
    </w:p>
    <w:p w14:paraId="58971F92" w14:textId="77777777" w:rsidR="00566F0C" w:rsidRDefault="00566F0C" w:rsidP="00BE32F4">
      <w:pPr>
        <w:pStyle w:val="PR2"/>
        <w:spacing w:before="240"/>
        <w:jc w:val="left"/>
      </w:pPr>
      <w:r>
        <w:t>Label shall include the following lamp characteristics:</w:t>
      </w:r>
    </w:p>
    <w:p w14:paraId="38A2F6C3" w14:textId="77777777" w:rsidR="00566F0C" w:rsidRDefault="00566F0C" w:rsidP="00BE32F4">
      <w:pPr>
        <w:pStyle w:val="PR3"/>
        <w:spacing w:before="240"/>
        <w:jc w:val="left"/>
      </w:pPr>
      <w:r>
        <w:t>"USE ONLY" and include specific lamp type.</w:t>
      </w:r>
    </w:p>
    <w:p w14:paraId="5EE15EB2" w14:textId="77777777" w:rsidR="00566F0C" w:rsidRDefault="00566F0C" w:rsidP="00BE32F4">
      <w:pPr>
        <w:pStyle w:val="PR3"/>
        <w:jc w:val="left"/>
      </w:pPr>
      <w:r>
        <w:t>Lamp diameter, shape, size, wattage and coating.</w:t>
      </w:r>
    </w:p>
    <w:p w14:paraId="06FAB3ED" w14:textId="77777777" w:rsidR="00566F0C" w:rsidRDefault="00566F0C" w:rsidP="00BE32F4">
      <w:pPr>
        <w:pStyle w:val="PR3"/>
        <w:jc w:val="left"/>
      </w:pPr>
      <w:r>
        <w:t>CCT and CRI for all luminaires.</w:t>
      </w:r>
    </w:p>
    <w:p w14:paraId="5AD535BB" w14:textId="77777777" w:rsidR="00566F0C" w:rsidRDefault="00566F0C" w:rsidP="00BE32F4">
      <w:pPr>
        <w:pStyle w:val="ART"/>
        <w:jc w:val="left"/>
      </w:pPr>
      <w:r>
        <w:t>FINISHES</w:t>
      </w:r>
    </w:p>
    <w:p w14:paraId="50AD6631" w14:textId="77777777" w:rsidR="00566F0C" w:rsidRDefault="00566F0C" w:rsidP="00BE32F4">
      <w:pPr>
        <w:pStyle w:val="PR1"/>
        <w:jc w:val="left"/>
      </w:pPr>
      <w:r>
        <w:t>Variations in Finishes: Noticeable variations in same piece are unacceptable. Variations in appearance of adjoining components are acceptable if they are within the range of approved Samples and are assembled or installed to minimize contrast.</w:t>
      </w:r>
    </w:p>
    <w:p w14:paraId="6A56442A" w14:textId="77777777" w:rsidR="00566F0C" w:rsidRDefault="00566F0C" w:rsidP="00BE32F4">
      <w:pPr>
        <w:pStyle w:val="PR1"/>
        <w:jc w:val="left"/>
      </w:pPr>
      <w:r>
        <w:t>Luminaire Finish: Manufacturer's standard paint applied to factory-assembled and -tested luminaire before shipping. Where indicated, match finish process and color of pole or support materials.</w:t>
      </w:r>
    </w:p>
    <w:p w14:paraId="384C0260" w14:textId="77777777" w:rsidR="00566F0C" w:rsidRDefault="00566F0C" w:rsidP="00BE32F4">
      <w:pPr>
        <w:pStyle w:val="PR1"/>
        <w:jc w:val="left"/>
      </w:pPr>
      <w:r>
        <w:t>Factory-Applied Finish for Aluminum Luminaires: Comply with NAAMM's "Metal Finishes Manual for Architectural and Metal Products" for recommendations for applying and designating finishes.</w:t>
      </w:r>
    </w:p>
    <w:p w14:paraId="5703F78A" w14:textId="77777777" w:rsidR="00566F0C" w:rsidRDefault="00566F0C" w:rsidP="00BE32F4">
      <w:pPr>
        <w:pStyle w:val="PR2"/>
        <w:spacing w:before="240"/>
        <w:jc w:val="left"/>
      </w:pPr>
      <w:r>
        <w:t>Finish designations prefixed by AA comply with the system established by the Aluminum Association for designating aluminum finishes.</w:t>
      </w:r>
    </w:p>
    <w:p w14:paraId="77A5EA5A" w14:textId="77777777" w:rsidR="00566F0C" w:rsidRDefault="00566F0C" w:rsidP="00BE32F4">
      <w:pPr>
        <w:pStyle w:val="PR2"/>
        <w:jc w:val="left"/>
      </w:pPr>
      <w:r>
        <w:t>Natural Satin Finish: Provide fine, directional, medium satin polish (AA-M32); buff complying with AA-M20 requirements; and seal aluminum surfaces with clear, hard-coat wax.</w:t>
      </w:r>
    </w:p>
    <w:p w14:paraId="331C7768" w14:textId="77777777" w:rsidR="00566F0C" w:rsidRDefault="00566F0C" w:rsidP="00BE32F4">
      <w:pPr>
        <w:pStyle w:val="PR2"/>
        <w:jc w:val="left"/>
      </w:pPr>
      <w:r>
        <w:t>Class I, Clear-Anodic Finish: AA-M32C22A41 (Mechanical Finish: Medium satin; Chemical Finish: Etched, medium matte; Anodic Coating: Architectural Class I, clear coating 0.018 mm or thicker) complying with AAMA 611.</w:t>
      </w:r>
    </w:p>
    <w:p w14:paraId="661D9C3B" w14:textId="77777777" w:rsidR="00566F0C" w:rsidRDefault="00566F0C" w:rsidP="00BE32F4">
      <w:pPr>
        <w:pStyle w:val="PR2"/>
        <w:jc w:val="left"/>
      </w:pPr>
      <w:r>
        <w:t>Class I, Color-Anodic Finish: AA-M32C22A42/A44 (Mechanical Finish: Medium satin; Chemical Finish: Etched, medium matte; Anodic Coating: Architectural Class I, integrally colored or electrolytically deposited color coating 0.018 mm or thicker), complying with AAMA 611.</w:t>
      </w:r>
    </w:p>
    <w:p w14:paraId="18FF8044" w14:textId="2C1FD575" w:rsidR="00566F0C" w:rsidRDefault="00566F0C" w:rsidP="00BE32F4">
      <w:pPr>
        <w:pStyle w:val="PR3"/>
        <w:spacing w:before="240"/>
        <w:jc w:val="left"/>
      </w:pPr>
      <w:r>
        <w:t>Color: [</w:t>
      </w:r>
      <w:r>
        <w:rPr>
          <w:b/>
        </w:rPr>
        <w:t>Light bronze</w:t>
      </w:r>
      <w:r>
        <w:t>] [</w:t>
      </w:r>
      <w:r>
        <w:rPr>
          <w:b/>
        </w:rPr>
        <w:t>Medium bronze</w:t>
      </w:r>
      <w:r>
        <w:t>] [</w:t>
      </w:r>
      <w:r>
        <w:rPr>
          <w:b/>
        </w:rPr>
        <w:t>Dark bronze</w:t>
      </w:r>
      <w:r>
        <w:t>] [</w:t>
      </w:r>
      <w:r>
        <w:rPr>
          <w:b/>
        </w:rPr>
        <w:t>Black</w:t>
      </w:r>
      <w:r w:rsidR="000961F0">
        <w:t>]</w:t>
      </w:r>
      <w:r>
        <w:t>.</w:t>
      </w:r>
    </w:p>
    <w:p w14:paraId="1DDEA1C7" w14:textId="77777777" w:rsidR="00566F0C" w:rsidRDefault="00566F0C" w:rsidP="00BE32F4">
      <w:pPr>
        <w:pStyle w:val="PR1"/>
        <w:jc w:val="left"/>
      </w:pPr>
      <w:r>
        <w:t>Factory-Applied Finish for Steel Luminaires: Comply with NAAMM's "Metal Finishes Manual for Architectural and Metal Products" for recommendations for applying and designating finishes.</w:t>
      </w:r>
    </w:p>
    <w:p w14:paraId="00F10CAA" w14:textId="77777777" w:rsidR="00566F0C" w:rsidRDefault="00566F0C" w:rsidP="00BE32F4">
      <w:pPr>
        <w:pStyle w:val="PR2"/>
        <w:spacing w:before="240"/>
        <w:jc w:val="left"/>
      </w:pPr>
      <w:r>
        <w:t>Surface Preparation: Clean surfaces to comply with SSPC-SP 1, to remove dirt, oil, grease, and other contaminants that could impair paint bond. Grind welds and polish surfaces to a smooth, even finish. Remove mill scale and rust, if present, from uncoated steel, complying with SSPC-SP 5/NACE No. 1 or SSPC-SP 8.</w:t>
      </w:r>
    </w:p>
    <w:p w14:paraId="3A7F802B" w14:textId="77777777" w:rsidR="0029615C" w:rsidRDefault="0029615C" w:rsidP="00BE32F4">
      <w:pPr>
        <w:pStyle w:val="PR2"/>
        <w:jc w:val="left"/>
      </w:pPr>
      <w:r>
        <w:t>Powder Coat: Comply with AAMA 2604.</w:t>
      </w:r>
    </w:p>
    <w:p w14:paraId="4864C41E" w14:textId="77777777" w:rsidR="0029615C" w:rsidRDefault="0029615C" w:rsidP="00BE32F4">
      <w:pPr>
        <w:pStyle w:val="PR3"/>
        <w:spacing w:before="240"/>
        <w:jc w:val="left"/>
      </w:pPr>
      <w:r>
        <w:lastRenderedPageBreak/>
        <w:t>Electrostatic-applied powder coating; single application and cured to a minimum 2.5- to 3.5-mils dry film thickness. Coat interior and exterior of pole for equal corrosion protection.</w:t>
      </w:r>
    </w:p>
    <w:p w14:paraId="7CFBAD72" w14:textId="69431A08" w:rsidR="00566F0C" w:rsidRDefault="0029615C" w:rsidP="00BE32F4">
      <w:pPr>
        <w:pStyle w:val="PR3"/>
        <w:jc w:val="left"/>
      </w:pPr>
      <w:r>
        <w:t xml:space="preserve">Color: </w:t>
      </w:r>
      <w:r w:rsidRPr="0029615C">
        <w:rPr>
          <w:b/>
        </w:rPr>
        <w:t>[As indicated by manufacturer's designations] [Match Architect's sample] [As selected by Architect from manufacturer's full</w:t>
      </w:r>
      <w:r>
        <w:rPr>
          <w:b/>
        </w:rPr>
        <w:t xml:space="preserve"> range</w:t>
      </w:r>
      <w:r w:rsidRPr="0029615C">
        <w:rPr>
          <w:b/>
        </w:rPr>
        <w:t>]</w:t>
      </w:r>
      <w:r w:rsidR="00566F0C">
        <w:t>.</w:t>
      </w:r>
    </w:p>
    <w:p w14:paraId="5E39FA4E" w14:textId="77777777" w:rsidR="00566F0C" w:rsidRDefault="00566F0C" w:rsidP="00BE32F4">
      <w:pPr>
        <w:pStyle w:val="PR3"/>
        <w:spacing w:before="240"/>
        <w:jc w:val="left"/>
      </w:pPr>
      <w:r>
        <w:t>Color: As selected from manufacturer's standard catalog of colors.</w:t>
      </w:r>
    </w:p>
    <w:p w14:paraId="714460F8" w14:textId="77777777" w:rsidR="00566F0C" w:rsidRDefault="00566F0C" w:rsidP="00BE32F4">
      <w:pPr>
        <w:pStyle w:val="PR3"/>
        <w:jc w:val="left"/>
      </w:pPr>
      <w:r>
        <w:t>Color: Match Architect's sample of [</w:t>
      </w:r>
      <w:r>
        <w:rPr>
          <w:b/>
        </w:rPr>
        <w:t>manufacturer's standard</w:t>
      </w:r>
      <w:r>
        <w:t>] [</w:t>
      </w:r>
      <w:r>
        <w:rPr>
          <w:b/>
        </w:rPr>
        <w:t>custom</w:t>
      </w:r>
      <w:r>
        <w:t>] color.</w:t>
      </w:r>
    </w:p>
    <w:p w14:paraId="6748F3BE" w14:textId="77777777" w:rsidR="00566F0C" w:rsidRDefault="00566F0C" w:rsidP="00BE32F4">
      <w:pPr>
        <w:pStyle w:val="PR3"/>
        <w:jc w:val="left"/>
      </w:pPr>
      <w:r>
        <w:t>Color: As selected by Architect from manufacturer's full range.</w:t>
      </w:r>
    </w:p>
    <w:p w14:paraId="74BB9E5B" w14:textId="77777777" w:rsidR="00566F0C" w:rsidRDefault="00566F0C" w:rsidP="00BE32F4">
      <w:pPr>
        <w:pStyle w:val="ART"/>
        <w:jc w:val="left"/>
      </w:pPr>
      <w:r>
        <w:t>LUMINAIRE SUPPORT COMPONENTS</w:t>
      </w:r>
    </w:p>
    <w:p w14:paraId="5CB6FD32" w14:textId="77777777" w:rsidR="00566F0C" w:rsidRDefault="00566F0C" w:rsidP="00BE32F4">
      <w:pPr>
        <w:pStyle w:val="PR1"/>
        <w:jc w:val="left"/>
      </w:pPr>
      <w:r>
        <w:t xml:space="preserve">Comply with requirements in Section </w:t>
      </w:r>
      <w:r w:rsidR="00BE32F4">
        <w:t>26 05 29</w:t>
      </w:r>
      <w:r>
        <w:t xml:space="preserve"> "Hangers and Supports for Electrical Systems" for channel and angle iron supports and nonmetallic channel and angle supports.</w:t>
      </w:r>
    </w:p>
    <w:p w14:paraId="731C55FB" w14:textId="77777777" w:rsidR="00566F0C" w:rsidRDefault="00566F0C" w:rsidP="00BE32F4">
      <w:pPr>
        <w:pStyle w:val="PRT"/>
        <w:jc w:val="left"/>
      </w:pPr>
      <w:r>
        <w:t>EXECUTION</w:t>
      </w:r>
    </w:p>
    <w:p w14:paraId="211B70D3" w14:textId="77777777" w:rsidR="00566F0C" w:rsidRDefault="00566F0C" w:rsidP="00BE32F4">
      <w:pPr>
        <w:pStyle w:val="ART"/>
        <w:jc w:val="left"/>
      </w:pPr>
      <w:r>
        <w:t>EXAMINATION</w:t>
      </w:r>
    </w:p>
    <w:p w14:paraId="34C42532" w14:textId="77777777" w:rsidR="00566F0C" w:rsidRDefault="00566F0C" w:rsidP="00BE32F4">
      <w:pPr>
        <w:pStyle w:val="PR1"/>
        <w:jc w:val="left"/>
      </w:pPr>
      <w:r>
        <w:t>Examine substrates, areas, and conditions, with Installer present, for compliance with requirements for installation tolerances and other conditions affecting performance of the Work.</w:t>
      </w:r>
    </w:p>
    <w:p w14:paraId="63D3C122" w14:textId="77777777" w:rsidR="00566F0C" w:rsidRDefault="00566F0C" w:rsidP="00BE32F4">
      <w:pPr>
        <w:pStyle w:val="PR1"/>
        <w:jc w:val="left"/>
      </w:pPr>
      <w:r>
        <w:t>Examine roughing-in for luminaire electrical conduit to verify actual locations of conduit connections before luminaire installation.</w:t>
      </w:r>
    </w:p>
    <w:p w14:paraId="4DA52A9D" w14:textId="77777777" w:rsidR="00566F0C" w:rsidRDefault="00566F0C" w:rsidP="00BE32F4">
      <w:pPr>
        <w:pStyle w:val="PR1"/>
        <w:jc w:val="left"/>
      </w:pPr>
      <w:r>
        <w:t>Examine walls, roofs, [</w:t>
      </w:r>
      <w:r>
        <w:rPr>
          <w:b/>
        </w:rPr>
        <w:t>and</w:t>
      </w:r>
      <w:r>
        <w:t>] [</w:t>
      </w:r>
      <w:r>
        <w:rPr>
          <w:b/>
        </w:rPr>
        <w:t>canopy ceilings</w:t>
      </w:r>
      <w:r>
        <w:t>] [</w:t>
      </w:r>
      <w:r>
        <w:rPr>
          <w:b/>
        </w:rPr>
        <w:t>and</w:t>
      </w:r>
      <w:r>
        <w:t>] [</w:t>
      </w:r>
      <w:r>
        <w:rPr>
          <w:b/>
        </w:rPr>
        <w:t>overhang ceilings</w:t>
      </w:r>
      <w:r>
        <w:t>] for suitable conditions where luminaires will be installed.</w:t>
      </w:r>
    </w:p>
    <w:p w14:paraId="5460AD23" w14:textId="77777777" w:rsidR="00566F0C" w:rsidRDefault="00566F0C" w:rsidP="00BE32F4">
      <w:pPr>
        <w:pStyle w:val="PR1"/>
        <w:jc w:val="left"/>
      </w:pPr>
      <w:r>
        <w:t>Proceed with installation only after unsatisfactory conditions have been corrected.</w:t>
      </w:r>
    </w:p>
    <w:p w14:paraId="1BDF0B55" w14:textId="77777777" w:rsidR="00566F0C" w:rsidRDefault="00566F0C" w:rsidP="00BE32F4">
      <w:pPr>
        <w:pStyle w:val="ART"/>
        <w:jc w:val="left"/>
      </w:pPr>
      <w:r>
        <w:t>GENERAL INSTALLATION REQUIREMENTS</w:t>
      </w:r>
    </w:p>
    <w:p w14:paraId="56C279C5" w14:textId="77777777" w:rsidR="00566F0C" w:rsidRDefault="00566F0C" w:rsidP="00BE32F4">
      <w:pPr>
        <w:pStyle w:val="PR1"/>
        <w:jc w:val="left"/>
      </w:pPr>
      <w:r>
        <w:t>Comply with NECA 1.</w:t>
      </w:r>
    </w:p>
    <w:p w14:paraId="7DC655C0" w14:textId="77777777" w:rsidR="00566F0C" w:rsidRDefault="00566F0C" w:rsidP="00BE32F4">
      <w:pPr>
        <w:pStyle w:val="PR1"/>
        <w:jc w:val="left"/>
      </w:pPr>
      <w:r>
        <w:t>Use fastening methods and materials selected to resist seismic forces defined for the application and approved by manufacturer.</w:t>
      </w:r>
    </w:p>
    <w:p w14:paraId="3CD4A920" w14:textId="77777777" w:rsidR="00566F0C" w:rsidRDefault="00566F0C" w:rsidP="00BE32F4">
      <w:pPr>
        <w:pStyle w:val="PR1"/>
        <w:jc w:val="left"/>
      </w:pPr>
      <w:r>
        <w:t>Install lamps in each luminaire.</w:t>
      </w:r>
    </w:p>
    <w:p w14:paraId="45690C90" w14:textId="77777777" w:rsidR="00566F0C" w:rsidRDefault="00566F0C" w:rsidP="00BE32F4">
      <w:pPr>
        <w:pStyle w:val="PR1"/>
        <w:jc w:val="left"/>
      </w:pPr>
      <w:r>
        <w:t>Fasten luminaire to structural support.</w:t>
      </w:r>
    </w:p>
    <w:p w14:paraId="13843440" w14:textId="77777777" w:rsidR="00566F0C" w:rsidRDefault="00566F0C" w:rsidP="00BE32F4">
      <w:pPr>
        <w:pStyle w:val="PR1"/>
        <w:jc w:val="left"/>
      </w:pPr>
      <w:r>
        <w:t>Supports:</w:t>
      </w:r>
    </w:p>
    <w:p w14:paraId="51D52D9A" w14:textId="77777777" w:rsidR="00566F0C" w:rsidRDefault="00566F0C" w:rsidP="00BE32F4">
      <w:pPr>
        <w:pStyle w:val="PR2"/>
        <w:spacing w:before="240"/>
        <w:jc w:val="left"/>
      </w:pPr>
      <w:r>
        <w:lastRenderedPageBreak/>
        <w:t>Sized and rated for luminaire weight.</w:t>
      </w:r>
    </w:p>
    <w:p w14:paraId="7A43492E" w14:textId="77777777" w:rsidR="00566F0C" w:rsidRDefault="00566F0C" w:rsidP="00BE32F4">
      <w:pPr>
        <w:pStyle w:val="PR2"/>
        <w:jc w:val="left"/>
      </w:pPr>
      <w:r>
        <w:t>Able to maintain luminaire position after cleaning and relamping.</w:t>
      </w:r>
    </w:p>
    <w:p w14:paraId="025B5A8F" w14:textId="77777777" w:rsidR="00566F0C" w:rsidRDefault="00566F0C" w:rsidP="00BE32F4">
      <w:pPr>
        <w:pStyle w:val="PR2"/>
        <w:jc w:val="left"/>
      </w:pPr>
      <w:r>
        <w:t>Support luminaires without causing deflection of finished surface.</w:t>
      </w:r>
    </w:p>
    <w:p w14:paraId="05ADC258" w14:textId="77777777" w:rsidR="00566F0C" w:rsidRDefault="00566F0C" w:rsidP="00BE32F4">
      <w:pPr>
        <w:pStyle w:val="PR2"/>
        <w:jc w:val="left"/>
      </w:pPr>
      <w:r>
        <w:t>Luminaire-mounting devices shall be capable of supporting a horizontal force of 100 percent of luminaire weight and a vertical force of 400 percent of luminaire weight.</w:t>
      </w:r>
    </w:p>
    <w:p w14:paraId="76056BC1" w14:textId="77777777" w:rsidR="00566F0C" w:rsidRDefault="00566F0C" w:rsidP="00BE32F4">
      <w:pPr>
        <w:pStyle w:val="PR1"/>
        <w:jc w:val="left"/>
      </w:pPr>
      <w:r>
        <w:t>Wall-Mounted Luminaire Support:</w:t>
      </w:r>
    </w:p>
    <w:p w14:paraId="4903CE61" w14:textId="77777777" w:rsidR="00566F0C" w:rsidRDefault="00566F0C" w:rsidP="00BE32F4">
      <w:pPr>
        <w:pStyle w:val="PR2"/>
        <w:spacing w:before="240"/>
        <w:jc w:val="left"/>
      </w:pPr>
      <w:r>
        <w:t>[</w:t>
      </w:r>
      <w:r>
        <w:rPr>
          <w:b/>
        </w:rPr>
        <w:t>Attached to structural members in walls</w:t>
      </w:r>
      <w:r>
        <w:t>] [</w:t>
      </w:r>
      <w:r>
        <w:rPr>
          <w:b/>
        </w:rPr>
        <w:t xml:space="preserve">Attached to a minimum </w:t>
      </w:r>
      <w:r w:rsidR="00BE32F4">
        <w:rPr>
          <w:rStyle w:val="IP"/>
          <w:b/>
        </w:rPr>
        <w:t>1/8 inch</w:t>
      </w:r>
      <w:r>
        <w:rPr>
          <w:b/>
        </w:rPr>
        <w:t xml:space="preserve"> backing plate attached to wall structural members</w:t>
      </w:r>
      <w:r>
        <w:t>] [</w:t>
      </w:r>
      <w:r>
        <w:rPr>
          <w:b/>
        </w:rPr>
        <w:t>Attached using through bolts and backing plates on either side of wall</w:t>
      </w:r>
      <w:r>
        <w:t>] &lt;</w:t>
      </w:r>
      <w:r>
        <w:rPr>
          <w:b/>
        </w:rPr>
        <w:t>Insert means of attachment</w:t>
      </w:r>
      <w:r>
        <w:t>&gt;.</w:t>
      </w:r>
    </w:p>
    <w:p w14:paraId="321132EF" w14:textId="77777777" w:rsidR="00566F0C" w:rsidRDefault="00566F0C" w:rsidP="00BE32F4">
      <w:pPr>
        <w:pStyle w:val="PR1"/>
        <w:jc w:val="left"/>
      </w:pPr>
      <w:r>
        <w:t>Wiring Method: Install cables in raceways. Conceal raceways and cables.</w:t>
      </w:r>
    </w:p>
    <w:p w14:paraId="58DBD08A" w14:textId="77777777" w:rsidR="00566F0C" w:rsidRPr="0029615C" w:rsidRDefault="00566F0C" w:rsidP="00BE32F4">
      <w:pPr>
        <w:pStyle w:val="PR1"/>
        <w:jc w:val="left"/>
      </w:pPr>
      <w:r w:rsidRPr="0029615C">
        <w:t>Install luminaires level, plumb, and square with finished grade unless otherwise indicated.</w:t>
      </w:r>
    </w:p>
    <w:p w14:paraId="03DC368C" w14:textId="77777777" w:rsidR="00566F0C" w:rsidRDefault="00566F0C" w:rsidP="00BE32F4">
      <w:pPr>
        <w:pStyle w:val="PR1"/>
        <w:jc w:val="left"/>
      </w:pPr>
      <w:r>
        <w:t>Coordinate layout and installation of luminaires with other construction.</w:t>
      </w:r>
    </w:p>
    <w:p w14:paraId="3225485D" w14:textId="77777777" w:rsidR="00566F0C" w:rsidRPr="0029615C" w:rsidRDefault="00566F0C" w:rsidP="00BE32F4">
      <w:pPr>
        <w:pStyle w:val="PR1"/>
        <w:jc w:val="left"/>
      </w:pPr>
      <w:r>
        <w:t>Adjust luminaires that require field adjustment or aiming</w:t>
      </w:r>
      <w:r w:rsidRPr="0029615C">
        <w:t xml:space="preserve">. Include adjustment of photoelectric device </w:t>
      </w:r>
      <w:r w:rsidR="0029615C" w:rsidRPr="0029615C">
        <w:t xml:space="preserve">and motion/occupancy sensors </w:t>
      </w:r>
      <w:r w:rsidRPr="0029615C">
        <w:t>to prevent false operation of relay by artificial light sources, favoring a north orientation.</w:t>
      </w:r>
    </w:p>
    <w:p w14:paraId="5B55F7C4" w14:textId="77777777" w:rsidR="00566F0C" w:rsidRDefault="00566F0C" w:rsidP="00BE32F4">
      <w:pPr>
        <w:pStyle w:val="PR1"/>
        <w:jc w:val="left"/>
      </w:pPr>
      <w:r>
        <w:t>Comply with requirements in Section </w:t>
      </w:r>
      <w:r w:rsidR="00BE32F4">
        <w:t>26 05 19</w:t>
      </w:r>
      <w:r>
        <w:t xml:space="preserve"> "Low-Voltage Electrical Power Conductors and Cables" and 26</w:t>
      </w:r>
      <w:r w:rsidR="00600287">
        <w:t xml:space="preserve"> </w:t>
      </w:r>
      <w:r>
        <w:t>05</w:t>
      </w:r>
      <w:r w:rsidR="00600287">
        <w:t xml:space="preserve"> </w:t>
      </w:r>
      <w:r>
        <w:t>33 "Raceways and Boxes for Electrical Systems" for wiring connections and wiring methods.</w:t>
      </w:r>
    </w:p>
    <w:p w14:paraId="0C0F0E32" w14:textId="77777777" w:rsidR="00566F0C" w:rsidRDefault="00566F0C" w:rsidP="00BE32F4">
      <w:pPr>
        <w:pStyle w:val="ART"/>
        <w:jc w:val="left"/>
      </w:pPr>
      <w:r>
        <w:t>INSTALLATION OF INDIVIDUAL GROUND-MOUNTED LUMINAIRES</w:t>
      </w:r>
    </w:p>
    <w:p w14:paraId="38A04E89" w14:textId="41F057FC" w:rsidR="00566F0C" w:rsidRDefault="00566F0C" w:rsidP="00BE32F4">
      <w:pPr>
        <w:pStyle w:val="CMT"/>
        <w:jc w:val="left"/>
      </w:pPr>
    </w:p>
    <w:p w14:paraId="78F1A459" w14:textId="77777777" w:rsidR="00566F0C" w:rsidRDefault="00566F0C" w:rsidP="00BE32F4">
      <w:pPr>
        <w:pStyle w:val="PR1"/>
        <w:jc w:val="left"/>
      </w:pPr>
      <w:r>
        <w:t>Aim as indicated on Drawings.</w:t>
      </w:r>
    </w:p>
    <w:p w14:paraId="693AEE94" w14:textId="77777777" w:rsidR="00566F0C" w:rsidRDefault="00566F0C" w:rsidP="00BE32F4">
      <w:pPr>
        <w:pStyle w:val="PR1"/>
        <w:jc w:val="left"/>
      </w:pPr>
      <w:r>
        <w:t>Install on concrete base with top [</w:t>
      </w:r>
      <w:r w:rsidR="00BE32F4">
        <w:rPr>
          <w:rStyle w:val="IP"/>
          <w:b/>
        </w:rPr>
        <w:t>4 inches</w:t>
      </w:r>
      <w:r>
        <w:t>] &lt;</w:t>
      </w:r>
      <w:r>
        <w:rPr>
          <w:b/>
        </w:rPr>
        <w:t>Insert dimension</w:t>
      </w:r>
      <w:r>
        <w:t>&gt; above finished grade or surface at luminaire location. Cast conduit into base, and finish by troweling and rubbing smooth. Concrete materials, installation, and finishing are specified in Section </w:t>
      </w:r>
      <w:r w:rsidR="00BE32F4">
        <w:t>03 30 00</w:t>
      </w:r>
      <w:r>
        <w:t xml:space="preserve"> "Cast-in-Place Concrete."</w:t>
      </w:r>
    </w:p>
    <w:p w14:paraId="14DF9489" w14:textId="77777777" w:rsidR="00566F0C" w:rsidRDefault="00566F0C" w:rsidP="00BE32F4">
      <w:pPr>
        <w:pStyle w:val="ART"/>
        <w:jc w:val="left"/>
      </w:pPr>
      <w:r>
        <w:t>CORROSION PREVENTION</w:t>
      </w:r>
    </w:p>
    <w:p w14:paraId="60520D68" w14:textId="77777777" w:rsidR="00566F0C" w:rsidRDefault="00566F0C" w:rsidP="00BE32F4">
      <w:pPr>
        <w:pStyle w:val="PR1"/>
        <w:jc w:val="left"/>
      </w:pPr>
      <w:r>
        <w:t>Aluminum: Do not use in contact with earth or concrete. When in direct contact with a dissimilar metal, protect aluminum by insulating fittings or treatment.</w:t>
      </w:r>
    </w:p>
    <w:p w14:paraId="46D92D1E" w14:textId="77777777" w:rsidR="00566F0C" w:rsidRDefault="00566F0C" w:rsidP="00BE32F4">
      <w:pPr>
        <w:pStyle w:val="PR1"/>
        <w:jc w:val="left"/>
      </w:pPr>
      <w:r>
        <w:lastRenderedPageBreak/>
        <w:t>Steel Conduits: Comply with Section </w:t>
      </w:r>
      <w:r w:rsidR="00BE32F4">
        <w:t>26 05 33</w:t>
      </w:r>
      <w:r>
        <w:t xml:space="preserve"> "Raceways and Boxes for Electrical Systems." In concrete foundations, wrap conduit with </w:t>
      </w:r>
      <w:r w:rsidR="00BE32F4">
        <w:rPr>
          <w:rStyle w:val="IP"/>
        </w:rPr>
        <w:t>0.010-inch-</w:t>
      </w:r>
      <w:r>
        <w:t>thick, pipe-wrapping plastic tape applied with a 50 percent overlap.</w:t>
      </w:r>
    </w:p>
    <w:p w14:paraId="14A4A5AD" w14:textId="77777777" w:rsidR="00566F0C" w:rsidRDefault="00566F0C" w:rsidP="00BE32F4">
      <w:pPr>
        <w:pStyle w:val="ART"/>
        <w:jc w:val="left"/>
      </w:pPr>
      <w:r>
        <w:t>IDENTIFICATION</w:t>
      </w:r>
    </w:p>
    <w:p w14:paraId="0B74A628" w14:textId="77777777" w:rsidR="00566F0C" w:rsidRDefault="00566F0C" w:rsidP="00BE32F4">
      <w:pPr>
        <w:pStyle w:val="PR1"/>
        <w:jc w:val="left"/>
      </w:pPr>
      <w:r>
        <w:t>Identify system components, wiring, cabling, and terminals. Comply with requirements for identification specified in Section </w:t>
      </w:r>
      <w:r w:rsidR="00BE32F4">
        <w:t>26 05 53</w:t>
      </w:r>
      <w:r>
        <w:t xml:space="preserve"> "Identification for Electrical Systems."</w:t>
      </w:r>
    </w:p>
    <w:p w14:paraId="15170AE0" w14:textId="77777777" w:rsidR="00566F0C" w:rsidRDefault="00566F0C" w:rsidP="00BE32F4">
      <w:pPr>
        <w:pStyle w:val="ART"/>
        <w:jc w:val="left"/>
      </w:pPr>
      <w:r>
        <w:t>FIELD QUALITY CONTROL</w:t>
      </w:r>
    </w:p>
    <w:p w14:paraId="3008EBA6" w14:textId="77777777" w:rsidR="00566F0C" w:rsidRDefault="00566F0C" w:rsidP="00BE32F4">
      <w:pPr>
        <w:pStyle w:val="PR1"/>
        <w:jc w:val="left"/>
      </w:pPr>
      <w:r>
        <w:t>Inspect each installed luminaire for damage. Replace damaged luminaires and components.</w:t>
      </w:r>
    </w:p>
    <w:p w14:paraId="61450297" w14:textId="77777777" w:rsidR="005229BA" w:rsidRDefault="005229BA" w:rsidP="00BE32F4">
      <w:pPr>
        <w:pStyle w:val="PR1"/>
        <w:jc w:val="left"/>
      </w:pPr>
      <w:r>
        <w:t xml:space="preserve">Engage </w:t>
      </w:r>
      <w:r w:rsidRPr="005229BA">
        <w:t>a Certified Acceptance Technician to perform acceptance tests and inspections as required by C</w:t>
      </w:r>
      <w:r w:rsidR="00E67593">
        <w:t>BC</w:t>
      </w:r>
      <w:r w:rsidRPr="005229BA">
        <w:t xml:space="preserve"> Title 24 Part 6.  These tests and inspections are in addition to the tests and inspections listed</w:t>
      </w:r>
      <w:r>
        <w:t xml:space="preserve"> below.</w:t>
      </w:r>
    </w:p>
    <w:p w14:paraId="2F81390B" w14:textId="77777777" w:rsidR="00566F0C" w:rsidRDefault="00566F0C" w:rsidP="00BE32F4">
      <w:pPr>
        <w:pStyle w:val="PR1"/>
        <w:jc w:val="left"/>
      </w:pPr>
      <w:r>
        <w:t>Perform the following tests and inspections:</w:t>
      </w:r>
    </w:p>
    <w:p w14:paraId="4CF0544A" w14:textId="77777777" w:rsidR="00566F0C" w:rsidRDefault="00566F0C" w:rsidP="00BE32F4">
      <w:pPr>
        <w:pStyle w:val="PR2"/>
        <w:spacing w:before="240"/>
        <w:jc w:val="left"/>
      </w:pPr>
      <w:r>
        <w:t>Operational Test: After installing luminaires, switches, and accessories, and after electrical circuitry has been energized, test units to confirm proper operation.</w:t>
      </w:r>
    </w:p>
    <w:p w14:paraId="04B4BD6C" w14:textId="77777777" w:rsidR="00566F0C" w:rsidRDefault="00566F0C" w:rsidP="00BE32F4">
      <w:pPr>
        <w:pStyle w:val="PR3"/>
        <w:spacing w:before="240"/>
        <w:jc w:val="left"/>
      </w:pPr>
      <w:r>
        <w:t>Verify operation of photoelectric controls.</w:t>
      </w:r>
    </w:p>
    <w:p w14:paraId="24D39E5F" w14:textId="77777777" w:rsidR="0029615C" w:rsidRDefault="0029615C" w:rsidP="00BE32F4">
      <w:pPr>
        <w:pStyle w:val="PR3"/>
        <w:jc w:val="left"/>
      </w:pPr>
      <w:r>
        <w:t>Verify operation of motion/occupancy sensors.</w:t>
      </w:r>
    </w:p>
    <w:p w14:paraId="7B599B8B" w14:textId="77777777" w:rsidR="00566F0C" w:rsidRDefault="00566F0C" w:rsidP="00BE32F4">
      <w:pPr>
        <w:pStyle w:val="PR2"/>
        <w:spacing w:before="240"/>
        <w:jc w:val="left"/>
      </w:pPr>
      <w:r>
        <w:t>Illumination Tests:</w:t>
      </w:r>
      <w:r w:rsidR="005229BA">
        <w:t xml:space="preserve"> </w:t>
      </w:r>
      <w:r>
        <w:t>Measure light intensities at night. Use photometers with calibration referenced to NIST standards. Comply with the following IES testing guide(s):</w:t>
      </w:r>
    </w:p>
    <w:p w14:paraId="2271133E" w14:textId="77777777" w:rsidR="00566F0C" w:rsidRDefault="00566F0C" w:rsidP="00BE32F4">
      <w:pPr>
        <w:pStyle w:val="PR3"/>
        <w:spacing w:before="240"/>
        <w:jc w:val="left"/>
      </w:pPr>
      <w:r>
        <w:t>IES LM-5.</w:t>
      </w:r>
    </w:p>
    <w:p w14:paraId="66FBE812" w14:textId="77777777" w:rsidR="00566F0C" w:rsidRDefault="00566F0C" w:rsidP="00BE32F4">
      <w:pPr>
        <w:pStyle w:val="PR3"/>
        <w:jc w:val="left"/>
      </w:pPr>
      <w:r>
        <w:t>IES LM-50.</w:t>
      </w:r>
    </w:p>
    <w:p w14:paraId="6902DD5E" w14:textId="77777777" w:rsidR="00566F0C" w:rsidRDefault="00566F0C" w:rsidP="00BE32F4">
      <w:pPr>
        <w:pStyle w:val="PR3"/>
        <w:jc w:val="left"/>
      </w:pPr>
      <w:r>
        <w:t>IES LM-64.</w:t>
      </w:r>
    </w:p>
    <w:p w14:paraId="2DF34F64" w14:textId="77777777" w:rsidR="00566F0C" w:rsidRDefault="00566F0C" w:rsidP="00BE32F4">
      <w:pPr>
        <w:pStyle w:val="PR3"/>
        <w:jc w:val="left"/>
      </w:pPr>
      <w:r>
        <w:t>IES LM-72.</w:t>
      </w:r>
    </w:p>
    <w:p w14:paraId="6A398CE9" w14:textId="77777777" w:rsidR="00566F0C" w:rsidRDefault="00566F0C" w:rsidP="00BE32F4">
      <w:pPr>
        <w:pStyle w:val="PR1"/>
        <w:jc w:val="left"/>
      </w:pPr>
      <w:r>
        <w:t>Luminaire will be considered defective if it does not pass tests and inspections.</w:t>
      </w:r>
    </w:p>
    <w:p w14:paraId="3CDFC1D4" w14:textId="77777777" w:rsidR="00566F0C" w:rsidRDefault="00566F0C" w:rsidP="00BE32F4">
      <w:pPr>
        <w:pStyle w:val="PR1"/>
        <w:jc w:val="left"/>
      </w:pPr>
      <w:r>
        <w:t>Prepare a written report of tests, inspections, observations, and verifications indicating and interpreting results. If adjustments are made to lighting system, retest to demonstrate compliance with standards.</w:t>
      </w:r>
    </w:p>
    <w:p w14:paraId="6F1BAD2B" w14:textId="77777777" w:rsidR="00566F0C" w:rsidRDefault="00566F0C" w:rsidP="00BE32F4">
      <w:pPr>
        <w:pStyle w:val="ART"/>
        <w:jc w:val="left"/>
      </w:pPr>
      <w:r>
        <w:t>DEMONSTRATION</w:t>
      </w:r>
    </w:p>
    <w:p w14:paraId="13CF2B95" w14:textId="77777777" w:rsidR="00566F0C" w:rsidRPr="008A1F7C" w:rsidRDefault="00566F0C" w:rsidP="00BE32F4">
      <w:pPr>
        <w:pStyle w:val="PR1"/>
        <w:jc w:val="left"/>
      </w:pPr>
      <w:r w:rsidRPr="008A1F7C">
        <w:t xml:space="preserve">Train </w:t>
      </w:r>
      <w:r w:rsidR="005229BA">
        <w:t>District</w:t>
      </w:r>
      <w:r w:rsidRPr="008A1F7C">
        <w:t>'s maintenance personnel to adjust, operate, and maintain luminaires</w:t>
      </w:r>
      <w:r w:rsidR="008A1F7C" w:rsidRPr="008A1F7C">
        <w:t xml:space="preserve">, motion/occupancy sensors, </w:t>
      </w:r>
      <w:r w:rsidRPr="008A1F7C">
        <w:t>and photocell relays.</w:t>
      </w:r>
    </w:p>
    <w:p w14:paraId="0DC7A868" w14:textId="77777777" w:rsidR="00566F0C" w:rsidRDefault="002C0A14" w:rsidP="00BE32F4">
      <w:pPr>
        <w:pStyle w:val="EOS"/>
        <w:jc w:val="left"/>
      </w:pPr>
      <w:r>
        <w:lastRenderedPageBreak/>
        <w:t xml:space="preserve">END OF SECTION </w:t>
      </w:r>
      <w:r w:rsidR="00BE32F4">
        <w:t>26 56 19</w:t>
      </w:r>
    </w:p>
    <w:p w14:paraId="38D5B8F3" w14:textId="77777777" w:rsidR="008A1F7C" w:rsidRPr="00D72E4D" w:rsidRDefault="008A1F7C" w:rsidP="00BE32F4">
      <w:pPr>
        <w:tabs>
          <w:tab w:val="center" w:pos="4680"/>
          <w:tab w:val="right" w:pos="9360"/>
        </w:tabs>
        <w:suppressAutoHyphens/>
        <w:spacing w:before="480"/>
      </w:pPr>
      <w:r w:rsidRPr="00D72E4D">
        <w:t>San Diego Unified School District Guide Specifications</w:t>
      </w:r>
    </w:p>
    <w:p w14:paraId="396939EB" w14:textId="77777777" w:rsidR="001A74CD" w:rsidRDefault="001A74CD" w:rsidP="001A74CD">
      <w:pPr>
        <w:suppressAutoHyphens/>
      </w:pPr>
      <w:r>
        <w:t xml:space="preserve">Document Version: </w:t>
      </w:r>
      <w:r>
        <w:rPr>
          <w:bCs/>
        </w:rPr>
        <w:t>August 2021</w:t>
      </w:r>
    </w:p>
    <w:p w14:paraId="7A25197E" w14:textId="79367667" w:rsidR="008A1F7C" w:rsidRDefault="008A1F7C" w:rsidP="001A74CD">
      <w:pPr>
        <w:suppressAutoHyphens/>
      </w:pPr>
    </w:p>
    <w:sectPr w:rsidR="008A1F7C" w:rsidSect="00BE32F4">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89925" w14:textId="77777777" w:rsidR="00047D4F" w:rsidRDefault="00047D4F">
      <w:r>
        <w:separator/>
      </w:r>
    </w:p>
  </w:endnote>
  <w:endnote w:type="continuationSeparator" w:id="0">
    <w:p w14:paraId="3B8B33D6" w14:textId="77777777" w:rsidR="00047D4F" w:rsidRDefault="00047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0A142" w14:textId="77777777" w:rsidR="00526C2D" w:rsidRDefault="00526C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B262EC" w14:paraId="6A89824F" w14:textId="77777777" w:rsidTr="00B262EC">
      <w:tc>
        <w:tcPr>
          <w:tcW w:w="9360" w:type="dxa"/>
          <w:tcBorders>
            <w:top w:val="nil"/>
            <w:left w:val="nil"/>
            <w:bottom w:val="nil"/>
            <w:right w:val="nil"/>
          </w:tcBorders>
        </w:tcPr>
        <w:p w14:paraId="35391939" w14:textId="77777777" w:rsidR="00B262EC" w:rsidRDefault="00B262EC" w:rsidP="00B262EC">
          <w:pPr>
            <w:tabs>
              <w:tab w:val="center" w:pos="5040"/>
              <w:tab w:val="right" w:pos="10080"/>
            </w:tabs>
          </w:pPr>
        </w:p>
      </w:tc>
    </w:tr>
    <w:tr w:rsidR="00B262EC" w14:paraId="4C23BD01" w14:textId="77777777" w:rsidTr="00B262EC">
      <w:trPr>
        <w:trHeight w:val="237"/>
      </w:trPr>
      <w:tc>
        <w:tcPr>
          <w:tcW w:w="9360" w:type="dxa"/>
          <w:tcBorders>
            <w:top w:val="nil"/>
            <w:left w:val="nil"/>
            <w:bottom w:val="nil"/>
            <w:right w:val="nil"/>
          </w:tcBorders>
        </w:tcPr>
        <w:p w14:paraId="38591267" w14:textId="77777777" w:rsidR="00B262EC" w:rsidRDefault="00B262EC" w:rsidP="00860A63">
          <w:pPr>
            <w:tabs>
              <w:tab w:val="center" w:pos="5040"/>
              <w:tab w:val="right" w:pos="10080"/>
            </w:tabs>
            <w:jc w:val="center"/>
            <w:rPr>
              <w:b/>
              <w:bCs/>
            </w:rPr>
          </w:pPr>
          <w:r>
            <w:rPr>
              <w:rStyle w:val="NAM"/>
              <w:b/>
            </w:rPr>
            <w:t>LED EXTERIOR LIGHTING</w:t>
          </w:r>
        </w:p>
      </w:tc>
    </w:tr>
    <w:tr w:rsidR="00B262EC" w14:paraId="097A4C2C" w14:textId="77777777" w:rsidTr="00B262EC">
      <w:tc>
        <w:tcPr>
          <w:tcW w:w="9360" w:type="dxa"/>
          <w:tcBorders>
            <w:top w:val="nil"/>
            <w:left w:val="nil"/>
            <w:bottom w:val="nil"/>
            <w:right w:val="nil"/>
          </w:tcBorders>
        </w:tcPr>
        <w:p w14:paraId="1216A310" w14:textId="787A9A34" w:rsidR="00B262EC" w:rsidRDefault="00BE32F4" w:rsidP="00860A63">
          <w:pPr>
            <w:tabs>
              <w:tab w:val="center" w:pos="5040"/>
              <w:tab w:val="right" w:pos="10080"/>
            </w:tabs>
            <w:jc w:val="center"/>
            <w:rPr>
              <w:b/>
              <w:bCs/>
            </w:rPr>
          </w:pPr>
          <w:r>
            <w:rPr>
              <w:rStyle w:val="NUM"/>
              <w:b/>
            </w:rPr>
            <w:t>26 56 19</w:t>
          </w:r>
          <w:r w:rsidR="00B262EC">
            <w:rPr>
              <w:b/>
              <w:bCs/>
            </w:rPr>
            <w:t xml:space="preserve"> - </w:t>
          </w:r>
          <w:r w:rsidR="00B262EC">
            <w:rPr>
              <w:b/>
              <w:bCs/>
            </w:rPr>
            <w:fldChar w:fldCharType="begin"/>
          </w:r>
          <w:r w:rsidR="00B262EC">
            <w:rPr>
              <w:b/>
              <w:bCs/>
            </w:rPr>
            <w:instrText xml:space="preserve"> PAGE  \* MERGEFORMAT </w:instrText>
          </w:r>
          <w:r w:rsidR="00B262EC">
            <w:rPr>
              <w:b/>
              <w:bCs/>
            </w:rPr>
            <w:fldChar w:fldCharType="separate"/>
          </w:r>
          <w:r w:rsidR="000961F0">
            <w:rPr>
              <w:b/>
              <w:bCs/>
              <w:noProof/>
            </w:rPr>
            <w:t>10</w:t>
          </w:r>
          <w:r w:rsidR="00B262EC">
            <w:rPr>
              <w:b/>
              <w:bCs/>
            </w:rPr>
            <w:fldChar w:fldCharType="end"/>
          </w:r>
        </w:p>
      </w:tc>
    </w:tr>
    <w:tr w:rsidR="00B262EC" w14:paraId="3C3978FD" w14:textId="77777777" w:rsidTr="00B262EC">
      <w:trPr>
        <w:trHeight w:val="290"/>
      </w:trPr>
      <w:tc>
        <w:tcPr>
          <w:tcW w:w="9360" w:type="dxa"/>
          <w:tcBorders>
            <w:top w:val="nil"/>
            <w:left w:val="nil"/>
            <w:bottom w:val="nil"/>
            <w:right w:val="nil"/>
          </w:tcBorders>
        </w:tcPr>
        <w:p w14:paraId="33C8DFAB" w14:textId="40BE4AAB" w:rsidR="00B262EC" w:rsidRDefault="00526C2D" w:rsidP="00860A63">
          <w:pPr>
            <w:tabs>
              <w:tab w:val="center" w:pos="5040"/>
              <w:tab w:val="right" w:pos="10080"/>
            </w:tabs>
            <w:jc w:val="center"/>
            <w:rPr>
              <w:b/>
              <w:bCs/>
            </w:rPr>
          </w:pPr>
          <w:r w:rsidRPr="002A623A">
            <w:rPr>
              <w:b/>
              <w:bCs/>
            </w:rPr>
            <w:t>ELECTRICAL CHARGING SYSTEM AND BATTERY ENERGY STORAGE SYSTEM</w:t>
          </w:r>
        </w:p>
      </w:tc>
    </w:tr>
    <w:tr w:rsidR="00B262EC" w14:paraId="452F5BD1" w14:textId="77777777" w:rsidTr="00B262EC">
      <w:tc>
        <w:tcPr>
          <w:tcW w:w="9360" w:type="dxa"/>
          <w:tcBorders>
            <w:top w:val="nil"/>
            <w:left w:val="nil"/>
            <w:bottom w:val="nil"/>
            <w:right w:val="nil"/>
          </w:tcBorders>
        </w:tcPr>
        <w:p w14:paraId="03E361E6" w14:textId="77777777" w:rsidR="00B262EC" w:rsidRDefault="00B262EC" w:rsidP="00F747DF">
          <w:pPr>
            <w:tabs>
              <w:tab w:val="center" w:pos="5040"/>
              <w:tab w:val="right" w:pos="10080"/>
            </w:tabs>
          </w:pPr>
        </w:p>
      </w:tc>
    </w:tr>
  </w:tbl>
  <w:p w14:paraId="44E241A9" w14:textId="77777777" w:rsidR="00B262EC" w:rsidRDefault="00B262EC" w:rsidP="00F747DF">
    <w:pPr>
      <w:tabs>
        <w:tab w:val="center" w:pos="5040"/>
        <w:tab w:val="right" w:pos="100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2B736" w14:textId="77777777" w:rsidR="00526C2D" w:rsidRDefault="00526C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FE118" w14:textId="77777777" w:rsidR="00047D4F" w:rsidRDefault="00047D4F">
      <w:r>
        <w:separator/>
      </w:r>
    </w:p>
  </w:footnote>
  <w:footnote w:type="continuationSeparator" w:id="0">
    <w:p w14:paraId="582C2109" w14:textId="77777777" w:rsidR="00047D4F" w:rsidRDefault="00047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51965" w14:textId="77777777" w:rsidR="00526C2D" w:rsidRDefault="00526C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4680"/>
      <w:gridCol w:w="4680"/>
    </w:tblGrid>
    <w:tr w:rsidR="00B262EC" w14:paraId="2442620F" w14:textId="77777777" w:rsidTr="00B262EC">
      <w:trPr>
        <w:trHeight w:val="90"/>
      </w:trPr>
      <w:tc>
        <w:tcPr>
          <w:tcW w:w="4680" w:type="dxa"/>
          <w:tcBorders>
            <w:top w:val="nil"/>
            <w:left w:val="nil"/>
            <w:bottom w:val="nil"/>
            <w:right w:val="nil"/>
          </w:tcBorders>
        </w:tcPr>
        <w:p w14:paraId="33D337A2" w14:textId="77777777" w:rsidR="00B262EC" w:rsidRDefault="00B262EC" w:rsidP="00B262EC">
          <w:pPr>
            <w:tabs>
              <w:tab w:val="center" w:pos="5040"/>
              <w:tab w:val="right" w:pos="10080"/>
            </w:tabs>
          </w:pPr>
          <w:r>
            <w:rPr>
              <w:b/>
              <w:bCs/>
            </w:rPr>
            <w:t>SPECIFICATIONS</w:t>
          </w:r>
        </w:p>
      </w:tc>
      <w:tc>
        <w:tcPr>
          <w:tcW w:w="4680" w:type="dxa"/>
          <w:tcBorders>
            <w:top w:val="nil"/>
            <w:left w:val="nil"/>
            <w:bottom w:val="nil"/>
            <w:right w:val="nil"/>
          </w:tcBorders>
        </w:tcPr>
        <w:p w14:paraId="490A1E8A" w14:textId="163AD375" w:rsidR="00B262EC" w:rsidRDefault="00B262EC" w:rsidP="00815EB1">
          <w:pPr>
            <w:tabs>
              <w:tab w:val="center" w:pos="5040"/>
              <w:tab w:val="right" w:pos="10080"/>
            </w:tabs>
            <w:jc w:val="right"/>
          </w:pPr>
          <w:r>
            <w:rPr>
              <w:b/>
              <w:bCs/>
            </w:rPr>
            <w:t xml:space="preserve">NO. </w:t>
          </w:r>
          <w:r w:rsidR="00526C2D">
            <w:rPr>
              <w:b/>
              <w:bCs/>
            </w:rPr>
            <w:t>PS23</w:t>
          </w:r>
          <w:r>
            <w:rPr>
              <w:b/>
              <w:bCs/>
            </w:rPr>
            <w:t>-</w:t>
          </w:r>
          <w:r w:rsidR="00526C2D">
            <w:rPr>
              <w:b/>
              <w:bCs/>
            </w:rPr>
            <w:t>0300</w:t>
          </w:r>
          <w:r>
            <w:rPr>
              <w:b/>
              <w:bCs/>
            </w:rPr>
            <w:t>-</w:t>
          </w:r>
          <w:r w:rsidR="00526C2D">
            <w:rPr>
              <w:b/>
              <w:bCs/>
            </w:rPr>
            <w:t>11</w:t>
          </w:r>
        </w:p>
      </w:tc>
    </w:tr>
  </w:tbl>
  <w:p w14:paraId="21B8AFB2" w14:textId="77777777" w:rsidR="00B262EC" w:rsidRDefault="00B262EC">
    <w:pPr>
      <w:tabs>
        <w:tab w:val="center" w:pos="5040"/>
        <w:tab w:val="right" w:pos="100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BACCE" w14:textId="77777777" w:rsidR="00526C2D" w:rsidRDefault="00526C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2EA1C1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E76DD6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72087F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84A1BB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67E9E9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18C47C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004D8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6617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7B442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96CC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AACE0C46"/>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3/01/14"/>
    <w:docVar w:name="Format" w:val="1"/>
    <w:docVar w:name="MF04" w:val="265619"/>
    <w:docVar w:name="MF95" w:val="16528"/>
    <w:docVar w:name="MFOrigin" w:val="MF04"/>
    <w:docVar w:name="SectionID" w:val="627"/>
    <w:docVar w:name="SpecType" w:val="MasterSpec"/>
    <w:docVar w:name="Version" w:val="9096"/>
  </w:docVars>
  <w:rsids>
    <w:rsidRoot w:val="00C77B59"/>
    <w:rsid w:val="00016A60"/>
    <w:rsid w:val="00016B95"/>
    <w:rsid w:val="000211A3"/>
    <w:rsid w:val="000230EC"/>
    <w:rsid w:val="00047D4F"/>
    <w:rsid w:val="000961F0"/>
    <w:rsid w:val="000B3D03"/>
    <w:rsid w:val="001504D1"/>
    <w:rsid w:val="00156770"/>
    <w:rsid w:val="0017644B"/>
    <w:rsid w:val="001A74CD"/>
    <w:rsid w:val="001C4FC4"/>
    <w:rsid w:val="001C591C"/>
    <w:rsid w:val="001E1B1C"/>
    <w:rsid w:val="00217CCD"/>
    <w:rsid w:val="00226D77"/>
    <w:rsid w:val="0023368E"/>
    <w:rsid w:val="00237A86"/>
    <w:rsid w:val="00242A24"/>
    <w:rsid w:val="00283F03"/>
    <w:rsid w:val="0029615C"/>
    <w:rsid w:val="002A50A6"/>
    <w:rsid w:val="002B4470"/>
    <w:rsid w:val="002C0A14"/>
    <w:rsid w:val="002C33D4"/>
    <w:rsid w:val="002C785F"/>
    <w:rsid w:val="003237DE"/>
    <w:rsid w:val="00361EF3"/>
    <w:rsid w:val="003C0036"/>
    <w:rsid w:val="003D3B43"/>
    <w:rsid w:val="003E0A1B"/>
    <w:rsid w:val="003E6685"/>
    <w:rsid w:val="00407806"/>
    <w:rsid w:val="00415640"/>
    <w:rsid w:val="004A4A00"/>
    <w:rsid w:val="00501D9A"/>
    <w:rsid w:val="005229BA"/>
    <w:rsid w:val="00526C2D"/>
    <w:rsid w:val="00566F0C"/>
    <w:rsid w:val="005935E2"/>
    <w:rsid w:val="005B1A23"/>
    <w:rsid w:val="005F3C99"/>
    <w:rsid w:val="00600287"/>
    <w:rsid w:val="00616C6B"/>
    <w:rsid w:val="0062000A"/>
    <w:rsid w:val="00651CB9"/>
    <w:rsid w:val="006756E1"/>
    <w:rsid w:val="00694139"/>
    <w:rsid w:val="006C7DA2"/>
    <w:rsid w:val="006E4594"/>
    <w:rsid w:val="00703239"/>
    <w:rsid w:val="00703669"/>
    <w:rsid w:val="007920DD"/>
    <w:rsid w:val="007D24F6"/>
    <w:rsid w:val="007D48D0"/>
    <w:rsid w:val="0081124C"/>
    <w:rsid w:val="00815EB1"/>
    <w:rsid w:val="0084321A"/>
    <w:rsid w:val="00860A63"/>
    <w:rsid w:val="008A1F7C"/>
    <w:rsid w:val="008A3BDF"/>
    <w:rsid w:val="00900299"/>
    <w:rsid w:val="0091488C"/>
    <w:rsid w:val="0099733D"/>
    <w:rsid w:val="009D6F4D"/>
    <w:rsid w:val="00A44159"/>
    <w:rsid w:val="00A73E1C"/>
    <w:rsid w:val="00A75D11"/>
    <w:rsid w:val="00A77C07"/>
    <w:rsid w:val="00A9205B"/>
    <w:rsid w:val="00A92B53"/>
    <w:rsid w:val="00A9481E"/>
    <w:rsid w:val="00B262EC"/>
    <w:rsid w:val="00B6215E"/>
    <w:rsid w:val="00B946F6"/>
    <w:rsid w:val="00BB0A28"/>
    <w:rsid w:val="00BE32F4"/>
    <w:rsid w:val="00C27C85"/>
    <w:rsid w:val="00C32D24"/>
    <w:rsid w:val="00C77B59"/>
    <w:rsid w:val="00C978CA"/>
    <w:rsid w:val="00CA33AF"/>
    <w:rsid w:val="00CE674D"/>
    <w:rsid w:val="00D12BBA"/>
    <w:rsid w:val="00D4085C"/>
    <w:rsid w:val="00D4513A"/>
    <w:rsid w:val="00D74E90"/>
    <w:rsid w:val="00D9372A"/>
    <w:rsid w:val="00E55396"/>
    <w:rsid w:val="00E67593"/>
    <w:rsid w:val="00E92192"/>
    <w:rsid w:val="00EA6EB0"/>
    <w:rsid w:val="00EB068D"/>
    <w:rsid w:val="00EB733E"/>
    <w:rsid w:val="00F25C3F"/>
    <w:rsid w:val="00F64E04"/>
    <w:rsid w:val="00F67B9B"/>
    <w:rsid w:val="00F747DF"/>
    <w:rsid w:val="00F82B20"/>
    <w:rsid w:val="00FD1686"/>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F88AA9"/>
  <w15:chartTrackingRefBased/>
  <w15:docId w15:val="{2C3FDB7E-2932-4EB3-A795-60D23FFA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3E0A1B"/>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3E0A1B"/>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3E0A1B"/>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3E0A1B"/>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3E0A1B"/>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3E0A1B"/>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3E0A1B"/>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3E0A1B"/>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3E0A1B"/>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color w:val="800080"/>
      <w:u w:val="single"/>
    </w:rPr>
  </w:style>
  <w:style w:type="paragraph" w:customStyle="1" w:styleId="CMT">
    <w:name w:val="CMT"/>
    <w:basedOn w:val="Normal"/>
    <w:link w:val="CMTChar"/>
    <w:pPr>
      <w:suppressAutoHyphens/>
      <w:spacing w:before="240"/>
      <w:jc w:val="both"/>
    </w:pPr>
    <w:rPr>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C77B59"/>
    <w:pPr>
      <w:tabs>
        <w:tab w:val="center" w:pos="4680"/>
        <w:tab w:val="right" w:pos="9360"/>
      </w:tabs>
    </w:pPr>
  </w:style>
  <w:style w:type="character" w:customStyle="1" w:styleId="HeaderChar">
    <w:name w:val="Header Char"/>
    <w:basedOn w:val="DefaultParagraphFont"/>
    <w:link w:val="Header"/>
    <w:uiPriority w:val="99"/>
    <w:rsid w:val="00C77B59"/>
  </w:style>
  <w:style w:type="paragraph" w:styleId="Footer">
    <w:name w:val="footer"/>
    <w:basedOn w:val="Normal"/>
    <w:link w:val="FooterChar"/>
    <w:uiPriority w:val="99"/>
    <w:unhideWhenUsed/>
    <w:rsid w:val="00C77B59"/>
    <w:pPr>
      <w:tabs>
        <w:tab w:val="center" w:pos="4680"/>
        <w:tab w:val="right" w:pos="9360"/>
      </w:tabs>
    </w:pPr>
  </w:style>
  <w:style w:type="character" w:customStyle="1" w:styleId="FooterChar">
    <w:name w:val="Footer Char"/>
    <w:basedOn w:val="DefaultParagraphFont"/>
    <w:link w:val="Footer"/>
    <w:uiPriority w:val="99"/>
    <w:rsid w:val="00C77B59"/>
  </w:style>
  <w:style w:type="paragraph" w:customStyle="1" w:styleId="TIP">
    <w:name w:val="TIP"/>
    <w:basedOn w:val="Normal"/>
    <w:link w:val="TIPChar"/>
    <w:rsid w:val="003E6685"/>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3E6685"/>
    <w:rPr>
      <w:rFonts w:ascii="Arial" w:hAnsi="Arial" w:cs="Arial"/>
      <w:color w:val="0000FF"/>
      <w:sz w:val="22"/>
      <w:lang w:val="x-none" w:eastAsia="x-none"/>
    </w:rPr>
  </w:style>
  <w:style w:type="character" w:customStyle="1" w:styleId="TIPChar">
    <w:name w:val="TIP Char"/>
    <w:link w:val="TIP"/>
    <w:rsid w:val="003E6685"/>
    <w:rPr>
      <w:vanish w:val="0"/>
      <w:color w:val="B30838"/>
    </w:rPr>
  </w:style>
  <w:style w:type="character" w:customStyle="1" w:styleId="SAhyperlink">
    <w:name w:val="SAhyperlink"/>
    <w:uiPriority w:val="1"/>
    <w:qFormat/>
    <w:rsid w:val="002B4470"/>
    <w:rPr>
      <w:color w:val="E36C0A"/>
      <w:u w:val="single"/>
    </w:rPr>
  </w:style>
  <w:style w:type="character" w:styleId="Hyperlink">
    <w:name w:val="Hyperlink"/>
    <w:uiPriority w:val="99"/>
    <w:unhideWhenUsed/>
    <w:rsid w:val="002B4470"/>
    <w:rPr>
      <w:color w:val="0000FF"/>
      <w:u w:val="single"/>
    </w:rPr>
  </w:style>
  <w:style w:type="paragraph" w:customStyle="1" w:styleId="PRN">
    <w:name w:val="PRN"/>
    <w:basedOn w:val="Normal"/>
    <w:link w:val="PRNChar"/>
    <w:rsid w:val="002C0A14"/>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2C0A14"/>
    <w:rPr>
      <w:rFonts w:ascii="Arial" w:hAnsi="Arial" w:cs="Arial"/>
      <w:sz w:val="22"/>
    </w:rPr>
  </w:style>
  <w:style w:type="character" w:customStyle="1" w:styleId="PRNChar">
    <w:name w:val="PRN Char"/>
    <w:link w:val="PRN"/>
    <w:rsid w:val="002C0A14"/>
    <w:rPr>
      <w:rFonts w:ascii="Arial" w:hAnsi="Arial" w:cs="Arial"/>
      <w:sz w:val="22"/>
      <w:shd w:val="pct20" w:color="FFFF00" w:fill="FFFFFF"/>
    </w:rPr>
  </w:style>
  <w:style w:type="paragraph" w:customStyle="1" w:styleId="OMN">
    <w:name w:val="OMN"/>
    <w:basedOn w:val="Normal"/>
    <w:link w:val="OMNChar"/>
    <w:rsid w:val="002C0A14"/>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2C0A14"/>
    <w:rPr>
      <w:rFonts w:ascii="Arial" w:hAnsi="Arial" w:cs="Arial"/>
      <w:b/>
      <w:sz w:val="22"/>
    </w:rPr>
  </w:style>
  <w:style w:type="character" w:customStyle="1" w:styleId="OMNChar">
    <w:name w:val="OMN Char"/>
    <w:link w:val="OMN"/>
    <w:rsid w:val="002C0A14"/>
    <w:rPr>
      <w:rFonts w:ascii="Arial" w:hAnsi="Arial" w:cs="Arial"/>
      <w:sz w:val="22"/>
      <w:shd w:val="pct30" w:color="CC99FF" w:fill="FFFFFF"/>
    </w:rPr>
  </w:style>
  <w:style w:type="paragraph" w:customStyle="1" w:styleId="STEditOR">
    <w:name w:val="STEdit[OR]"/>
    <w:basedOn w:val="Normal"/>
    <w:link w:val="STEditORChar"/>
    <w:rsid w:val="002C0A14"/>
    <w:rPr>
      <w:b/>
    </w:rPr>
  </w:style>
  <w:style w:type="character" w:customStyle="1" w:styleId="STEditORChar">
    <w:name w:val="STEdit[OR] Char"/>
    <w:basedOn w:val="EOSChar"/>
    <w:link w:val="STEditOR"/>
    <w:rsid w:val="002C0A14"/>
    <w:rPr>
      <w:rFonts w:ascii="Arial" w:hAnsi="Arial" w:cs="Arial"/>
      <w:b/>
      <w:sz w:val="22"/>
    </w:rPr>
  </w:style>
  <w:style w:type="paragraph" w:styleId="BalloonText">
    <w:name w:val="Balloon Text"/>
    <w:basedOn w:val="Normal"/>
    <w:link w:val="BalloonTextChar"/>
    <w:uiPriority w:val="99"/>
    <w:semiHidden/>
    <w:unhideWhenUsed/>
    <w:rsid w:val="003E0A1B"/>
    <w:rPr>
      <w:rFonts w:ascii="Segoe UI" w:hAnsi="Segoe UI" w:cs="Segoe UI"/>
      <w:sz w:val="18"/>
      <w:szCs w:val="18"/>
    </w:rPr>
  </w:style>
  <w:style w:type="character" w:customStyle="1" w:styleId="BalloonTextChar">
    <w:name w:val="Balloon Text Char"/>
    <w:link w:val="BalloonText"/>
    <w:uiPriority w:val="99"/>
    <w:semiHidden/>
    <w:rsid w:val="003E0A1B"/>
    <w:rPr>
      <w:rFonts w:ascii="Segoe UI" w:hAnsi="Segoe UI" w:cs="Segoe UI"/>
      <w:sz w:val="18"/>
      <w:szCs w:val="18"/>
    </w:rPr>
  </w:style>
  <w:style w:type="paragraph" w:styleId="Bibliography">
    <w:name w:val="Bibliography"/>
    <w:basedOn w:val="Normal"/>
    <w:next w:val="Normal"/>
    <w:uiPriority w:val="37"/>
    <w:semiHidden/>
    <w:unhideWhenUsed/>
    <w:rsid w:val="003E0A1B"/>
  </w:style>
  <w:style w:type="paragraph" w:styleId="BlockText">
    <w:name w:val="Block Text"/>
    <w:basedOn w:val="Normal"/>
    <w:uiPriority w:val="99"/>
    <w:semiHidden/>
    <w:unhideWhenUsed/>
    <w:rsid w:val="003E0A1B"/>
    <w:pPr>
      <w:spacing w:after="120"/>
      <w:ind w:left="1440" w:right="1440"/>
    </w:pPr>
  </w:style>
  <w:style w:type="paragraph" w:styleId="BodyText">
    <w:name w:val="Body Text"/>
    <w:basedOn w:val="Normal"/>
    <w:link w:val="BodyTextChar"/>
    <w:uiPriority w:val="99"/>
    <w:semiHidden/>
    <w:unhideWhenUsed/>
    <w:rsid w:val="003E0A1B"/>
    <w:pPr>
      <w:spacing w:after="120"/>
    </w:pPr>
  </w:style>
  <w:style w:type="character" w:customStyle="1" w:styleId="BodyTextChar">
    <w:name w:val="Body Text Char"/>
    <w:link w:val="BodyText"/>
    <w:uiPriority w:val="99"/>
    <w:semiHidden/>
    <w:rsid w:val="003E0A1B"/>
    <w:rPr>
      <w:rFonts w:ascii="Arial" w:hAnsi="Arial" w:cs="Arial"/>
    </w:rPr>
  </w:style>
  <w:style w:type="paragraph" w:styleId="BodyText2">
    <w:name w:val="Body Text 2"/>
    <w:basedOn w:val="Normal"/>
    <w:link w:val="BodyText2Char"/>
    <w:uiPriority w:val="99"/>
    <w:semiHidden/>
    <w:unhideWhenUsed/>
    <w:rsid w:val="003E0A1B"/>
    <w:pPr>
      <w:spacing w:after="120" w:line="480" w:lineRule="auto"/>
    </w:pPr>
  </w:style>
  <w:style w:type="character" w:customStyle="1" w:styleId="BodyText2Char">
    <w:name w:val="Body Text 2 Char"/>
    <w:link w:val="BodyText2"/>
    <w:uiPriority w:val="99"/>
    <w:semiHidden/>
    <w:rsid w:val="003E0A1B"/>
    <w:rPr>
      <w:rFonts w:ascii="Arial" w:hAnsi="Arial" w:cs="Arial"/>
    </w:rPr>
  </w:style>
  <w:style w:type="paragraph" w:styleId="BodyText3">
    <w:name w:val="Body Text 3"/>
    <w:basedOn w:val="Normal"/>
    <w:link w:val="BodyText3Char"/>
    <w:uiPriority w:val="99"/>
    <w:semiHidden/>
    <w:unhideWhenUsed/>
    <w:rsid w:val="003E0A1B"/>
    <w:pPr>
      <w:spacing w:after="120"/>
    </w:pPr>
    <w:rPr>
      <w:sz w:val="16"/>
      <w:szCs w:val="16"/>
    </w:rPr>
  </w:style>
  <w:style w:type="character" w:customStyle="1" w:styleId="BodyText3Char">
    <w:name w:val="Body Text 3 Char"/>
    <w:link w:val="BodyText3"/>
    <w:uiPriority w:val="99"/>
    <w:semiHidden/>
    <w:rsid w:val="003E0A1B"/>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3E0A1B"/>
    <w:pPr>
      <w:ind w:firstLine="210"/>
    </w:pPr>
  </w:style>
  <w:style w:type="character" w:customStyle="1" w:styleId="BodyTextFirstIndentChar">
    <w:name w:val="Body Text First Indent Char"/>
    <w:basedOn w:val="BodyTextChar"/>
    <w:link w:val="BodyTextFirstIndent"/>
    <w:uiPriority w:val="99"/>
    <w:semiHidden/>
    <w:rsid w:val="003E0A1B"/>
    <w:rPr>
      <w:rFonts w:ascii="Arial" w:hAnsi="Arial" w:cs="Arial"/>
    </w:rPr>
  </w:style>
  <w:style w:type="paragraph" w:styleId="BodyTextIndent">
    <w:name w:val="Body Text Indent"/>
    <w:basedOn w:val="Normal"/>
    <w:link w:val="BodyTextIndentChar"/>
    <w:uiPriority w:val="99"/>
    <w:semiHidden/>
    <w:unhideWhenUsed/>
    <w:rsid w:val="003E0A1B"/>
    <w:pPr>
      <w:spacing w:after="120"/>
      <w:ind w:left="360"/>
    </w:pPr>
  </w:style>
  <w:style w:type="character" w:customStyle="1" w:styleId="BodyTextIndentChar">
    <w:name w:val="Body Text Indent Char"/>
    <w:link w:val="BodyTextIndent"/>
    <w:uiPriority w:val="99"/>
    <w:semiHidden/>
    <w:rsid w:val="003E0A1B"/>
    <w:rPr>
      <w:rFonts w:ascii="Arial" w:hAnsi="Arial" w:cs="Arial"/>
    </w:rPr>
  </w:style>
  <w:style w:type="paragraph" w:styleId="BodyTextFirstIndent2">
    <w:name w:val="Body Text First Indent 2"/>
    <w:basedOn w:val="BodyTextIndent"/>
    <w:link w:val="BodyTextFirstIndent2Char"/>
    <w:uiPriority w:val="99"/>
    <w:semiHidden/>
    <w:unhideWhenUsed/>
    <w:rsid w:val="003E0A1B"/>
    <w:pPr>
      <w:ind w:firstLine="210"/>
    </w:pPr>
  </w:style>
  <w:style w:type="character" w:customStyle="1" w:styleId="BodyTextFirstIndent2Char">
    <w:name w:val="Body Text First Indent 2 Char"/>
    <w:basedOn w:val="BodyTextIndentChar"/>
    <w:link w:val="BodyTextFirstIndent2"/>
    <w:uiPriority w:val="99"/>
    <w:semiHidden/>
    <w:rsid w:val="003E0A1B"/>
    <w:rPr>
      <w:rFonts w:ascii="Arial" w:hAnsi="Arial" w:cs="Arial"/>
    </w:rPr>
  </w:style>
  <w:style w:type="paragraph" w:styleId="BodyTextIndent2">
    <w:name w:val="Body Text Indent 2"/>
    <w:basedOn w:val="Normal"/>
    <w:link w:val="BodyTextIndent2Char"/>
    <w:uiPriority w:val="99"/>
    <w:semiHidden/>
    <w:unhideWhenUsed/>
    <w:rsid w:val="003E0A1B"/>
    <w:pPr>
      <w:spacing w:after="120" w:line="480" w:lineRule="auto"/>
      <w:ind w:left="360"/>
    </w:pPr>
  </w:style>
  <w:style w:type="character" w:customStyle="1" w:styleId="BodyTextIndent2Char">
    <w:name w:val="Body Text Indent 2 Char"/>
    <w:link w:val="BodyTextIndent2"/>
    <w:uiPriority w:val="99"/>
    <w:semiHidden/>
    <w:rsid w:val="003E0A1B"/>
    <w:rPr>
      <w:rFonts w:ascii="Arial" w:hAnsi="Arial" w:cs="Arial"/>
    </w:rPr>
  </w:style>
  <w:style w:type="paragraph" w:styleId="BodyTextIndent3">
    <w:name w:val="Body Text Indent 3"/>
    <w:basedOn w:val="Normal"/>
    <w:link w:val="BodyTextIndent3Char"/>
    <w:uiPriority w:val="99"/>
    <w:semiHidden/>
    <w:unhideWhenUsed/>
    <w:rsid w:val="003E0A1B"/>
    <w:pPr>
      <w:spacing w:after="120"/>
      <w:ind w:left="360"/>
    </w:pPr>
    <w:rPr>
      <w:sz w:val="16"/>
      <w:szCs w:val="16"/>
    </w:rPr>
  </w:style>
  <w:style w:type="character" w:customStyle="1" w:styleId="BodyTextIndent3Char">
    <w:name w:val="Body Text Indent 3 Char"/>
    <w:link w:val="BodyTextIndent3"/>
    <w:uiPriority w:val="99"/>
    <w:semiHidden/>
    <w:rsid w:val="003E0A1B"/>
    <w:rPr>
      <w:rFonts w:ascii="Arial" w:hAnsi="Arial" w:cs="Arial"/>
      <w:sz w:val="16"/>
      <w:szCs w:val="16"/>
    </w:rPr>
  </w:style>
  <w:style w:type="paragraph" w:styleId="Caption">
    <w:name w:val="caption"/>
    <w:basedOn w:val="Normal"/>
    <w:next w:val="Normal"/>
    <w:uiPriority w:val="35"/>
    <w:semiHidden/>
    <w:unhideWhenUsed/>
    <w:qFormat/>
    <w:rsid w:val="003E0A1B"/>
    <w:rPr>
      <w:b/>
      <w:bCs/>
    </w:rPr>
  </w:style>
  <w:style w:type="paragraph" w:styleId="Closing">
    <w:name w:val="Closing"/>
    <w:basedOn w:val="Normal"/>
    <w:link w:val="ClosingChar"/>
    <w:uiPriority w:val="99"/>
    <w:semiHidden/>
    <w:unhideWhenUsed/>
    <w:rsid w:val="003E0A1B"/>
    <w:pPr>
      <w:ind w:left="4320"/>
    </w:pPr>
  </w:style>
  <w:style w:type="character" w:customStyle="1" w:styleId="ClosingChar">
    <w:name w:val="Closing Char"/>
    <w:link w:val="Closing"/>
    <w:uiPriority w:val="99"/>
    <w:semiHidden/>
    <w:rsid w:val="003E0A1B"/>
    <w:rPr>
      <w:rFonts w:ascii="Arial" w:hAnsi="Arial" w:cs="Arial"/>
    </w:rPr>
  </w:style>
  <w:style w:type="paragraph" w:styleId="CommentText">
    <w:name w:val="annotation text"/>
    <w:basedOn w:val="Normal"/>
    <w:link w:val="CommentTextChar"/>
    <w:uiPriority w:val="99"/>
    <w:semiHidden/>
    <w:unhideWhenUsed/>
    <w:rsid w:val="003E0A1B"/>
  </w:style>
  <w:style w:type="character" w:customStyle="1" w:styleId="CommentTextChar">
    <w:name w:val="Comment Text Char"/>
    <w:link w:val="CommentText"/>
    <w:uiPriority w:val="99"/>
    <w:semiHidden/>
    <w:rsid w:val="003E0A1B"/>
    <w:rPr>
      <w:rFonts w:ascii="Arial" w:hAnsi="Arial" w:cs="Arial"/>
    </w:rPr>
  </w:style>
  <w:style w:type="paragraph" w:styleId="CommentSubject">
    <w:name w:val="annotation subject"/>
    <w:basedOn w:val="CommentText"/>
    <w:next w:val="CommentText"/>
    <w:link w:val="CommentSubjectChar"/>
    <w:uiPriority w:val="99"/>
    <w:semiHidden/>
    <w:unhideWhenUsed/>
    <w:rsid w:val="003E0A1B"/>
    <w:rPr>
      <w:b/>
      <w:bCs/>
    </w:rPr>
  </w:style>
  <w:style w:type="character" w:customStyle="1" w:styleId="CommentSubjectChar">
    <w:name w:val="Comment Subject Char"/>
    <w:link w:val="CommentSubject"/>
    <w:uiPriority w:val="99"/>
    <w:semiHidden/>
    <w:rsid w:val="003E0A1B"/>
    <w:rPr>
      <w:rFonts w:ascii="Arial" w:hAnsi="Arial" w:cs="Arial"/>
      <w:b/>
      <w:bCs/>
    </w:rPr>
  </w:style>
  <w:style w:type="paragraph" w:styleId="Date">
    <w:name w:val="Date"/>
    <w:basedOn w:val="Normal"/>
    <w:next w:val="Normal"/>
    <w:link w:val="DateChar"/>
    <w:uiPriority w:val="99"/>
    <w:semiHidden/>
    <w:unhideWhenUsed/>
    <w:rsid w:val="003E0A1B"/>
  </w:style>
  <w:style w:type="character" w:customStyle="1" w:styleId="DateChar">
    <w:name w:val="Date Char"/>
    <w:link w:val="Date"/>
    <w:uiPriority w:val="99"/>
    <w:semiHidden/>
    <w:rsid w:val="003E0A1B"/>
    <w:rPr>
      <w:rFonts w:ascii="Arial" w:hAnsi="Arial" w:cs="Arial"/>
    </w:rPr>
  </w:style>
  <w:style w:type="paragraph" w:styleId="DocumentMap">
    <w:name w:val="Document Map"/>
    <w:basedOn w:val="Normal"/>
    <w:link w:val="DocumentMapChar"/>
    <w:uiPriority w:val="99"/>
    <w:semiHidden/>
    <w:unhideWhenUsed/>
    <w:rsid w:val="003E0A1B"/>
    <w:rPr>
      <w:rFonts w:ascii="Segoe UI" w:hAnsi="Segoe UI" w:cs="Segoe UI"/>
      <w:sz w:val="16"/>
      <w:szCs w:val="16"/>
    </w:rPr>
  </w:style>
  <w:style w:type="character" w:customStyle="1" w:styleId="DocumentMapChar">
    <w:name w:val="Document Map Char"/>
    <w:link w:val="DocumentMap"/>
    <w:uiPriority w:val="99"/>
    <w:semiHidden/>
    <w:rsid w:val="003E0A1B"/>
    <w:rPr>
      <w:rFonts w:ascii="Segoe UI" w:hAnsi="Segoe UI" w:cs="Segoe UI"/>
      <w:sz w:val="16"/>
      <w:szCs w:val="16"/>
    </w:rPr>
  </w:style>
  <w:style w:type="paragraph" w:styleId="E-mailSignature">
    <w:name w:val="E-mail Signature"/>
    <w:basedOn w:val="Normal"/>
    <w:link w:val="E-mailSignatureChar"/>
    <w:uiPriority w:val="99"/>
    <w:semiHidden/>
    <w:unhideWhenUsed/>
    <w:rsid w:val="003E0A1B"/>
  </w:style>
  <w:style w:type="character" w:customStyle="1" w:styleId="E-mailSignatureChar">
    <w:name w:val="E-mail Signature Char"/>
    <w:link w:val="E-mailSignature"/>
    <w:uiPriority w:val="99"/>
    <w:semiHidden/>
    <w:rsid w:val="003E0A1B"/>
    <w:rPr>
      <w:rFonts w:ascii="Arial" w:hAnsi="Arial" w:cs="Arial"/>
    </w:rPr>
  </w:style>
  <w:style w:type="paragraph" w:styleId="EndnoteText">
    <w:name w:val="endnote text"/>
    <w:basedOn w:val="Normal"/>
    <w:link w:val="EndnoteTextChar"/>
    <w:uiPriority w:val="99"/>
    <w:semiHidden/>
    <w:unhideWhenUsed/>
    <w:rsid w:val="003E0A1B"/>
  </w:style>
  <w:style w:type="character" w:customStyle="1" w:styleId="EndnoteTextChar">
    <w:name w:val="Endnote Text Char"/>
    <w:link w:val="EndnoteText"/>
    <w:uiPriority w:val="99"/>
    <w:semiHidden/>
    <w:rsid w:val="003E0A1B"/>
    <w:rPr>
      <w:rFonts w:ascii="Arial" w:hAnsi="Arial" w:cs="Arial"/>
    </w:rPr>
  </w:style>
  <w:style w:type="paragraph" w:styleId="EnvelopeAddress">
    <w:name w:val="envelope address"/>
    <w:basedOn w:val="Normal"/>
    <w:uiPriority w:val="99"/>
    <w:semiHidden/>
    <w:unhideWhenUsed/>
    <w:rsid w:val="003E0A1B"/>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3E0A1B"/>
    <w:rPr>
      <w:rFonts w:ascii="Calibri Light" w:hAnsi="Calibri Light" w:cs="Times New Roman"/>
    </w:rPr>
  </w:style>
  <w:style w:type="paragraph" w:styleId="FootnoteText">
    <w:name w:val="footnote text"/>
    <w:basedOn w:val="Normal"/>
    <w:link w:val="FootnoteTextChar"/>
    <w:uiPriority w:val="99"/>
    <w:semiHidden/>
    <w:unhideWhenUsed/>
    <w:rsid w:val="003E0A1B"/>
  </w:style>
  <w:style w:type="character" w:customStyle="1" w:styleId="FootnoteTextChar">
    <w:name w:val="Footnote Text Char"/>
    <w:link w:val="FootnoteText"/>
    <w:uiPriority w:val="99"/>
    <w:semiHidden/>
    <w:rsid w:val="003E0A1B"/>
    <w:rPr>
      <w:rFonts w:ascii="Arial" w:hAnsi="Arial" w:cs="Arial"/>
    </w:rPr>
  </w:style>
  <w:style w:type="character" w:customStyle="1" w:styleId="Heading1Char">
    <w:name w:val="Heading 1 Char"/>
    <w:link w:val="Heading1"/>
    <w:uiPriority w:val="9"/>
    <w:rsid w:val="003E0A1B"/>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3E0A1B"/>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3E0A1B"/>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3E0A1B"/>
    <w:rPr>
      <w:rFonts w:ascii="Calibri" w:eastAsia="Times New Roman" w:hAnsi="Calibri" w:cs="Times New Roman"/>
      <w:b/>
      <w:bCs/>
      <w:sz w:val="28"/>
      <w:szCs w:val="28"/>
    </w:rPr>
  </w:style>
  <w:style w:type="character" w:customStyle="1" w:styleId="Heading5Char">
    <w:name w:val="Heading 5 Char"/>
    <w:link w:val="Heading5"/>
    <w:uiPriority w:val="9"/>
    <w:semiHidden/>
    <w:rsid w:val="003E0A1B"/>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3E0A1B"/>
    <w:rPr>
      <w:rFonts w:ascii="Calibri" w:eastAsia="Times New Roman" w:hAnsi="Calibri" w:cs="Times New Roman"/>
      <w:b/>
      <w:bCs/>
      <w:sz w:val="22"/>
      <w:szCs w:val="22"/>
    </w:rPr>
  </w:style>
  <w:style w:type="character" w:customStyle="1" w:styleId="Heading7Char">
    <w:name w:val="Heading 7 Char"/>
    <w:link w:val="Heading7"/>
    <w:uiPriority w:val="9"/>
    <w:semiHidden/>
    <w:rsid w:val="003E0A1B"/>
    <w:rPr>
      <w:rFonts w:ascii="Calibri" w:eastAsia="Times New Roman" w:hAnsi="Calibri" w:cs="Times New Roman"/>
      <w:sz w:val="24"/>
      <w:szCs w:val="24"/>
    </w:rPr>
  </w:style>
  <w:style w:type="character" w:customStyle="1" w:styleId="Heading8Char">
    <w:name w:val="Heading 8 Char"/>
    <w:link w:val="Heading8"/>
    <w:uiPriority w:val="9"/>
    <w:semiHidden/>
    <w:rsid w:val="003E0A1B"/>
    <w:rPr>
      <w:rFonts w:ascii="Calibri" w:eastAsia="Times New Roman" w:hAnsi="Calibri" w:cs="Times New Roman"/>
      <w:i/>
      <w:iCs/>
      <w:sz w:val="24"/>
      <w:szCs w:val="24"/>
    </w:rPr>
  </w:style>
  <w:style w:type="character" w:customStyle="1" w:styleId="Heading9Char">
    <w:name w:val="Heading 9 Char"/>
    <w:link w:val="Heading9"/>
    <w:uiPriority w:val="9"/>
    <w:semiHidden/>
    <w:rsid w:val="003E0A1B"/>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3E0A1B"/>
    <w:rPr>
      <w:i/>
      <w:iCs/>
    </w:rPr>
  </w:style>
  <w:style w:type="character" w:customStyle="1" w:styleId="HTMLAddressChar">
    <w:name w:val="HTML Address Char"/>
    <w:link w:val="HTMLAddress"/>
    <w:uiPriority w:val="99"/>
    <w:semiHidden/>
    <w:rsid w:val="003E0A1B"/>
    <w:rPr>
      <w:rFonts w:ascii="Arial" w:hAnsi="Arial" w:cs="Arial"/>
      <w:i/>
      <w:iCs/>
    </w:rPr>
  </w:style>
  <w:style w:type="paragraph" w:styleId="HTMLPreformatted">
    <w:name w:val="HTML Preformatted"/>
    <w:basedOn w:val="Normal"/>
    <w:link w:val="HTMLPreformattedChar"/>
    <w:uiPriority w:val="99"/>
    <w:semiHidden/>
    <w:unhideWhenUsed/>
    <w:rsid w:val="003E0A1B"/>
    <w:rPr>
      <w:rFonts w:ascii="Courier New" w:hAnsi="Courier New" w:cs="Courier New"/>
    </w:rPr>
  </w:style>
  <w:style w:type="character" w:customStyle="1" w:styleId="HTMLPreformattedChar">
    <w:name w:val="HTML Preformatted Char"/>
    <w:link w:val="HTMLPreformatted"/>
    <w:uiPriority w:val="99"/>
    <w:semiHidden/>
    <w:rsid w:val="003E0A1B"/>
    <w:rPr>
      <w:rFonts w:ascii="Courier New" w:hAnsi="Courier New" w:cs="Courier New"/>
    </w:rPr>
  </w:style>
  <w:style w:type="paragraph" w:styleId="Index1">
    <w:name w:val="index 1"/>
    <w:basedOn w:val="Normal"/>
    <w:next w:val="Normal"/>
    <w:uiPriority w:val="99"/>
    <w:semiHidden/>
    <w:unhideWhenUsed/>
    <w:rsid w:val="003E0A1B"/>
    <w:pPr>
      <w:ind w:left="200" w:hanging="200"/>
    </w:pPr>
  </w:style>
  <w:style w:type="paragraph" w:styleId="Index2">
    <w:name w:val="index 2"/>
    <w:basedOn w:val="Normal"/>
    <w:next w:val="Normal"/>
    <w:uiPriority w:val="99"/>
    <w:semiHidden/>
    <w:unhideWhenUsed/>
    <w:rsid w:val="003E0A1B"/>
    <w:pPr>
      <w:ind w:left="400" w:hanging="200"/>
    </w:pPr>
  </w:style>
  <w:style w:type="paragraph" w:styleId="Index3">
    <w:name w:val="index 3"/>
    <w:basedOn w:val="Normal"/>
    <w:next w:val="Normal"/>
    <w:uiPriority w:val="99"/>
    <w:semiHidden/>
    <w:unhideWhenUsed/>
    <w:rsid w:val="003E0A1B"/>
    <w:pPr>
      <w:ind w:left="600" w:hanging="200"/>
    </w:pPr>
  </w:style>
  <w:style w:type="paragraph" w:styleId="Index4">
    <w:name w:val="index 4"/>
    <w:basedOn w:val="Normal"/>
    <w:next w:val="Normal"/>
    <w:uiPriority w:val="99"/>
    <w:semiHidden/>
    <w:unhideWhenUsed/>
    <w:rsid w:val="003E0A1B"/>
    <w:pPr>
      <w:ind w:left="800" w:hanging="200"/>
    </w:pPr>
  </w:style>
  <w:style w:type="paragraph" w:styleId="Index5">
    <w:name w:val="index 5"/>
    <w:basedOn w:val="Normal"/>
    <w:next w:val="Normal"/>
    <w:uiPriority w:val="99"/>
    <w:semiHidden/>
    <w:unhideWhenUsed/>
    <w:rsid w:val="003E0A1B"/>
    <w:pPr>
      <w:ind w:left="1000" w:hanging="200"/>
    </w:pPr>
  </w:style>
  <w:style w:type="paragraph" w:styleId="Index6">
    <w:name w:val="index 6"/>
    <w:basedOn w:val="Normal"/>
    <w:next w:val="Normal"/>
    <w:uiPriority w:val="99"/>
    <w:semiHidden/>
    <w:unhideWhenUsed/>
    <w:rsid w:val="003E0A1B"/>
    <w:pPr>
      <w:ind w:left="1200" w:hanging="200"/>
    </w:pPr>
  </w:style>
  <w:style w:type="paragraph" w:styleId="Index7">
    <w:name w:val="index 7"/>
    <w:basedOn w:val="Normal"/>
    <w:next w:val="Normal"/>
    <w:uiPriority w:val="99"/>
    <w:semiHidden/>
    <w:unhideWhenUsed/>
    <w:rsid w:val="003E0A1B"/>
    <w:pPr>
      <w:ind w:left="1400" w:hanging="200"/>
    </w:pPr>
  </w:style>
  <w:style w:type="paragraph" w:styleId="Index8">
    <w:name w:val="index 8"/>
    <w:basedOn w:val="Normal"/>
    <w:next w:val="Normal"/>
    <w:uiPriority w:val="99"/>
    <w:semiHidden/>
    <w:unhideWhenUsed/>
    <w:rsid w:val="003E0A1B"/>
    <w:pPr>
      <w:ind w:left="1600" w:hanging="200"/>
    </w:pPr>
  </w:style>
  <w:style w:type="paragraph" w:styleId="Index9">
    <w:name w:val="index 9"/>
    <w:basedOn w:val="Normal"/>
    <w:next w:val="Normal"/>
    <w:uiPriority w:val="99"/>
    <w:semiHidden/>
    <w:unhideWhenUsed/>
    <w:rsid w:val="003E0A1B"/>
    <w:pPr>
      <w:ind w:left="1800" w:hanging="200"/>
    </w:pPr>
  </w:style>
  <w:style w:type="paragraph" w:styleId="IndexHeading">
    <w:name w:val="index heading"/>
    <w:basedOn w:val="Normal"/>
    <w:next w:val="Index1"/>
    <w:uiPriority w:val="99"/>
    <w:semiHidden/>
    <w:unhideWhenUsed/>
    <w:rsid w:val="003E0A1B"/>
    <w:rPr>
      <w:rFonts w:ascii="Calibri Light" w:hAnsi="Calibri Light" w:cs="Times New Roman"/>
      <w:b/>
      <w:bCs/>
    </w:rPr>
  </w:style>
  <w:style w:type="paragraph" w:styleId="IntenseQuote">
    <w:name w:val="Intense Quote"/>
    <w:basedOn w:val="Normal"/>
    <w:next w:val="Normal"/>
    <w:link w:val="IntenseQuoteChar"/>
    <w:uiPriority w:val="30"/>
    <w:qFormat/>
    <w:rsid w:val="003E0A1B"/>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3E0A1B"/>
    <w:rPr>
      <w:rFonts w:ascii="Arial" w:hAnsi="Arial" w:cs="Arial"/>
      <w:i/>
      <w:iCs/>
      <w:color w:val="5B9BD5"/>
    </w:rPr>
  </w:style>
  <w:style w:type="paragraph" w:styleId="List">
    <w:name w:val="List"/>
    <w:basedOn w:val="Normal"/>
    <w:uiPriority w:val="99"/>
    <w:semiHidden/>
    <w:unhideWhenUsed/>
    <w:rsid w:val="003E0A1B"/>
    <w:pPr>
      <w:ind w:left="360" w:hanging="360"/>
      <w:contextualSpacing/>
    </w:pPr>
  </w:style>
  <w:style w:type="paragraph" w:styleId="List2">
    <w:name w:val="List 2"/>
    <w:basedOn w:val="Normal"/>
    <w:uiPriority w:val="99"/>
    <w:semiHidden/>
    <w:unhideWhenUsed/>
    <w:rsid w:val="003E0A1B"/>
    <w:pPr>
      <w:ind w:left="720" w:hanging="360"/>
      <w:contextualSpacing/>
    </w:pPr>
  </w:style>
  <w:style w:type="paragraph" w:styleId="List3">
    <w:name w:val="List 3"/>
    <w:basedOn w:val="Normal"/>
    <w:uiPriority w:val="99"/>
    <w:semiHidden/>
    <w:unhideWhenUsed/>
    <w:rsid w:val="003E0A1B"/>
    <w:pPr>
      <w:ind w:left="1080" w:hanging="360"/>
      <w:contextualSpacing/>
    </w:pPr>
  </w:style>
  <w:style w:type="paragraph" w:styleId="List4">
    <w:name w:val="List 4"/>
    <w:basedOn w:val="Normal"/>
    <w:uiPriority w:val="99"/>
    <w:semiHidden/>
    <w:unhideWhenUsed/>
    <w:rsid w:val="003E0A1B"/>
    <w:pPr>
      <w:ind w:left="1440" w:hanging="360"/>
      <w:contextualSpacing/>
    </w:pPr>
  </w:style>
  <w:style w:type="paragraph" w:styleId="List5">
    <w:name w:val="List 5"/>
    <w:basedOn w:val="Normal"/>
    <w:uiPriority w:val="99"/>
    <w:semiHidden/>
    <w:unhideWhenUsed/>
    <w:rsid w:val="003E0A1B"/>
    <w:pPr>
      <w:ind w:left="1800" w:hanging="360"/>
      <w:contextualSpacing/>
    </w:pPr>
  </w:style>
  <w:style w:type="paragraph" w:styleId="ListBullet">
    <w:name w:val="List Bullet"/>
    <w:basedOn w:val="Normal"/>
    <w:uiPriority w:val="99"/>
    <w:semiHidden/>
    <w:unhideWhenUsed/>
    <w:rsid w:val="003E0A1B"/>
    <w:pPr>
      <w:numPr>
        <w:numId w:val="2"/>
      </w:numPr>
      <w:contextualSpacing/>
    </w:pPr>
  </w:style>
  <w:style w:type="paragraph" w:styleId="ListBullet2">
    <w:name w:val="List Bullet 2"/>
    <w:basedOn w:val="Normal"/>
    <w:uiPriority w:val="99"/>
    <w:semiHidden/>
    <w:unhideWhenUsed/>
    <w:rsid w:val="003E0A1B"/>
    <w:pPr>
      <w:numPr>
        <w:numId w:val="3"/>
      </w:numPr>
      <w:contextualSpacing/>
    </w:pPr>
  </w:style>
  <w:style w:type="paragraph" w:styleId="ListBullet3">
    <w:name w:val="List Bullet 3"/>
    <w:basedOn w:val="Normal"/>
    <w:uiPriority w:val="99"/>
    <w:semiHidden/>
    <w:unhideWhenUsed/>
    <w:rsid w:val="003E0A1B"/>
    <w:pPr>
      <w:numPr>
        <w:numId w:val="4"/>
      </w:numPr>
      <w:contextualSpacing/>
    </w:pPr>
  </w:style>
  <w:style w:type="paragraph" w:styleId="ListBullet4">
    <w:name w:val="List Bullet 4"/>
    <w:basedOn w:val="Normal"/>
    <w:uiPriority w:val="99"/>
    <w:semiHidden/>
    <w:unhideWhenUsed/>
    <w:rsid w:val="003E0A1B"/>
    <w:pPr>
      <w:numPr>
        <w:numId w:val="5"/>
      </w:numPr>
      <w:contextualSpacing/>
    </w:pPr>
  </w:style>
  <w:style w:type="paragraph" w:styleId="ListBullet5">
    <w:name w:val="List Bullet 5"/>
    <w:basedOn w:val="Normal"/>
    <w:uiPriority w:val="99"/>
    <w:semiHidden/>
    <w:unhideWhenUsed/>
    <w:rsid w:val="003E0A1B"/>
    <w:pPr>
      <w:numPr>
        <w:numId w:val="6"/>
      </w:numPr>
      <w:contextualSpacing/>
    </w:pPr>
  </w:style>
  <w:style w:type="paragraph" w:styleId="ListContinue">
    <w:name w:val="List Continue"/>
    <w:basedOn w:val="Normal"/>
    <w:uiPriority w:val="99"/>
    <w:semiHidden/>
    <w:unhideWhenUsed/>
    <w:rsid w:val="003E0A1B"/>
    <w:pPr>
      <w:spacing w:after="120"/>
      <w:ind w:left="360"/>
      <w:contextualSpacing/>
    </w:pPr>
  </w:style>
  <w:style w:type="paragraph" w:styleId="ListContinue2">
    <w:name w:val="List Continue 2"/>
    <w:basedOn w:val="Normal"/>
    <w:uiPriority w:val="99"/>
    <w:semiHidden/>
    <w:unhideWhenUsed/>
    <w:rsid w:val="003E0A1B"/>
    <w:pPr>
      <w:spacing w:after="120"/>
      <w:ind w:left="720"/>
      <w:contextualSpacing/>
    </w:pPr>
  </w:style>
  <w:style w:type="paragraph" w:styleId="ListContinue3">
    <w:name w:val="List Continue 3"/>
    <w:basedOn w:val="Normal"/>
    <w:uiPriority w:val="99"/>
    <w:semiHidden/>
    <w:unhideWhenUsed/>
    <w:rsid w:val="003E0A1B"/>
    <w:pPr>
      <w:spacing w:after="120"/>
      <w:ind w:left="1080"/>
      <w:contextualSpacing/>
    </w:pPr>
  </w:style>
  <w:style w:type="paragraph" w:styleId="ListContinue4">
    <w:name w:val="List Continue 4"/>
    <w:basedOn w:val="Normal"/>
    <w:uiPriority w:val="99"/>
    <w:semiHidden/>
    <w:unhideWhenUsed/>
    <w:rsid w:val="003E0A1B"/>
    <w:pPr>
      <w:spacing w:after="120"/>
      <w:ind w:left="1440"/>
      <w:contextualSpacing/>
    </w:pPr>
  </w:style>
  <w:style w:type="paragraph" w:styleId="ListContinue5">
    <w:name w:val="List Continue 5"/>
    <w:basedOn w:val="Normal"/>
    <w:uiPriority w:val="99"/>
    <w:semiHidden/>
    <w:unhideWhenUsed/>
    <w:rsid w:val="003E0A1B"/>
    <w:pPr>
      <w:spacing w:after="120"/>
      <w:ind w:left="1800"/>
      <w:contextualSpacing/>
    </w:pPr>
  </w:style>
  <w:style w:type="paragraph" w:styleId="ListNumber">
    <w:name w:val="List Number"/>
    <w:basedOn w:val="Normal"/>
    <w:uiPriority w:val="99"/>
    <w:semiHidden/>
    <w:unhideWhenUsed/>
    <w:rsid w:val="003E0A1B"/>
    <w:pPr>
      <w:numPr>
        <w:numId w:val="7"/>
      </w:numPr>
      <w:contextualSpacing/>
    </w:pPr>
  </w:style>
  <w:style w:type="paragraph" w:styleId="ListNumber2">
    <w:name w:val="List Number 2"/>
    <w:basedOn w:val="Normal"/>
    <w:uiPriority w:val="99"/>
    <w:semiHidden/>
    <w:unhideWhenUsed/>
    <w:rsid w:val="003E0A1B"/>
    <w:pPr>
      <w:numPr>
        <w:numId w:val="8"/>
      </w:numPr>
      <w:contextualSpacing/>
    </w:pPr>
  </w:style>
  <w:style w:type="paragraph" w:styleId="ListNumber3">
    <w:name w:val="List Number 3"/>
    <w:basedOn w:val="Normal"/>
    <w:uiPriority w:val="99"/>
    <w:semiHidden/>
    <w:unhideWhenUsed/>
    <w:rsid w:val="003E0A1B"/>
    <w:pPr>
      <w:numPr>
        <w:numId w:val="9"/>
      </w:numPr>
      <w:contextualSpacing/>
    </w:pPr>
  </w:style>
  <w:style w:type="paragraph" w:styleId="ListNumber4">
    <w:name w:val="List Number 4"/>
    <w:basedOn w:val="Normal"/>
    <w:uiPriority w:val="99"/>
    <w:semiHidden/>
    <w:unhideWhenUsed/>
    <w:rsid w:val="003E0A1B"/>
    <w:pPr>
      <w:numPr>
        <w:numId w:val="10"/>
      </w:numPr>
      <w:contextualSpacing/>
    </w:pPr>
  </w:style>
  <w:style w:type="paragraph" w:styleId="ListNumber5">
    <w:name w:val="List Number 5"/>
    <w:basedOn w:val="Normal"/>
    <w:uiPriority w:val="99"/>
    <w:semiHidden/>
    <w:unhideWhenUsed/>
    <w:rsid w:val="003E0A1B"/>
    <w:pPr>
      <w:numPr>
        <w:numId w:val="11"/>
      </w:numPr>
      <w:contextualSpacing/>
    </w:pPr>
  </w:style>
  <w:style w:type="paragraph" w:styleId="ListParagraph">
    <w:name w:val="List Paragraph"/>
    <w:basedOn w:val="Normal"/>
    <w:uiPriority w:val="34"/>
    <w:qFormat/>
    <w:rsid w:val="003E0A1B"/>
    <w:pPr>
      <w:ind w:left="720"/>
    </w:pPr>
  </w:style>
  <w:style w:type="paragraph" w:styleId="MacroText">
    <w:name w:val="macro"/>
    <w:link w:val="MacroTextChar"/>
    <w:uiPriority w:val="99"/>
    <w:semiHidden/>
    <w:unhideWhenUsed/>
    <w:rsid w:val="003E0A1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3E0A1B"/>
    <w:rPr>
      <w:rFonts w:ascii="Courier New" w:hAnsi="Courier New" w:cs="Courier New"/>
    </w:rPr>
  </w:style>
  <w:style w:type="paragraph" w:styleId="MessageHeader">
    <w:name w:val="Message Header"/>
    <w:basedOn w:val="Normal"/>
    <w:link w:val="MessageHeaderChar"/>
    <w:uiPriority w:val="99"/>
    <w:semiHidden/>
    <w:unhideWhenUsed/>
    <w:rsid w:val="003E0A1B"/>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3E0A1B"/>
    <w:rPr>
      <w:rFonts w:ascii="Calibri Light" w:eastAsia="Times New Roman" w:hAnsi="Calibri Light" w:cs="Times New Roman"/>
      <w:sz w:val="24"/>
      <w:szCs w:val="24"/>
      <w:shd w:val="pct20" w:color="auto" w:fill="auto"/>
    </w:rPr>
  </w:style>
  <w:style w:type="paragraph" w:styleId="NoSpacing">
    <w:name w:val="No Spacing"/>
    <w:uiPriority w:val="1"/>
    <w:qFormat/>
    <w:rsid w:val="003E0A1B"/>
    <w:rPr>
      <w:rFonts w:ascii="Arial" w:hAnsi="Arial" w:cs="Arial"/>
    </w:rPr>
  </w:style>
  <w:style w:type="paragraph" w:styleId="NormalWeb">
    <w:name w:val="Normal (Web)"/>
    <w:basedOn w:val="Normal"/>
    <w:uiPriority w:val="99"/>
    <w:semiHidden/>
    <w:unhideWhenUsed/>
    <w:rsid w:val="003E0A1B"/>
    <w:rPr>
      <w:rFonts w:ascii="Times New Roman" w:hAnsi="Times New Roman" w:cs="Times New Roman"/>
      <w:sz w:val="24"/>
      <w:szCs w:val="24"/>
    </w:rPr>
  </w:style>
  <w:style w:type="paragraph" w:styleId="NormalIndent">
    <w:name w:val="Normal Indent"/>
    <w:basedOn w:val="Normal"/>
    <w:uiPriority w:val="99"/>
    <w:semiHidden/>
    <w:unhideWhenUsed/>
    <w:rsid w:val="003E0A1B"/>
    <w:pPr>
      <w:ind w:left="720"/>
    </w:pPr>
  </w:style>
  <w:style w:type="paragraph" w:styleId="NoteHeading">
    <w:name w:val="Note Heading"/>
    <w:basedOn w:val="Normal"/>
    <w:next w:val="Normal"/>
    <w:link w:val="NoteHeadingChar"/>
    <w:uiPriority w:val="99"/>
    <w:semiHidden/>
    <w:unhideWhenUsed/>
    <w:rsid w:val="003E0A1B"/>
  </w:style>
  <w:style w:type="character" w:customStyle="1" w:styleId="NoteHeadingChar">
    <w:name w:val="Note Heading Char"/>
    <w:link w:val="NoteHeading"/>
    <w:uiPriority w:val="99"/>
    <w:semiHidden/>
    <w:rsid w:val="003E0A1B"/>
    <w:rPr>
      <w:rFonts w:ascii="Arial" w:hAnsi="Arial" w:cs="Arial"/>
    </w:rPr>
  </w:style>
  <w:style w:type="paragraph" w:styleId="PlainText">
    <w:name w:val="Plain Text"/>
    <w:basedOn w:val="Normal"/>
    <w:link w:val="PlainTextChar"/>
    <w:uiPriority w:val="99"/>
    <w:semiHidden/>
    <w:unhideWhenUsed/>
    <w:rsid w:val="003E0A1B"/>
    <w:rPr>
      <w:rFonts w:ascii="Courier New" w:hAnsi="Courier New" w:cs="Courier New"/>
    </w:rPr>
  </w:style>
  <w:style w:type="character" w:customStyle="1" w:styleId="PlainTextChar">
    <w:name w:val="Plain Text Char"/>
    <w:link w:val="PlainText"/>
    <w:uiPriority w:val="99"/>
    <w:semiHidden/>
    <w:rsid w:val="003E0A1B"/>
    <w:rPr>
      <w:rFonts w:ascii="Courier New" w:hAnsi="Courier New" w:cs="Courier New"/>
    </w:rPr>
  </w:style>
  <w:style w:type="paragraph" w:styleId="Quote">
    <w:name w:val="Quote"/>
    <w:basedOn w:val="Normal"/>
    <w:next w:val="Normal"/>
    <w:link w:val="QuoteChar"/>
    <w:uiPriority w:val="29"/>
    <w:qFormat/>
    <w:rsid w:val="003E0A1B"/>
    <w:pPr>
      <w:spacing w:before="200" w:after="160"/>
      <w:ind w:left="864" w:right="864"/>
      <w:jc w:val="center"/>
    </w:pPr>
    <w:rPr>
      <w:i/>
      <w:iCs/>
      <w:color w:val="404040"/>
    </w:rPr>
  </w:style>
  <w:style w:type="character" w:customStyle="1" w:styleId="QuoteChar">
    <w:name w:val="Quote Char"/>
    <w:link w:val="Quote"/>
    <w:uiPriority w:val="29"/>
    <w:rsid w:val="003E0A1B"/>
    <w:rPr>
      <w:rFonts w:ascii="Arial" w:hAnsi="Arial" w:cs="Arial"/>
      <w:i/>
      <w:iCs/>
      <w:color w:val="404040"/>
    </w:rPr>
  </w:style>
  <w:style w:type="paragraph" w:styleId="Salutation">
    <w:name w:val="Salutation"/>
    <w:basedOn w:val="Normal"/>
    <w:next w:val="Normal"/>
    <w:link w:val="SalutationChar"/>
    <w:uiPriority w:val="99"/>
    <w:semiHidden/>
    <w:unhideWhenUsed/>
    <w:rsid w:val="003E0A1B"/>
  </w:style>
  <w:style w:type="character" w:customStyle="1" w:styleId="SalutationChar">
    <w:name w:val="Salutation Char"/>
    <w:link w:val="Salutation"/>
    <w:uiPriority w:val="99"/>
    <w:semiHidden/>
    <w:rsid w:val="003E0A1B"/>
    <w:rPr>
      <w:rFonts w:ascii="Arial" w:hAnsi="Arial" w:cs="Arial"/>
    </w:rPr>
  </w:style>
  <w:style w:type="paragraph" w:styleId="Signature">
    <w:name w:val="Signature"/>
    <w:basedOn w:val="Normal"/>
    <w:link w:val="SignatureChar"/>
    <w:uiPriority w:val="99"/>
    <w:semiHidden/>
    <w:unhideWhenUsed/>
    <w:rsid w:val="003E0A1B"/>
    <w:pPr>
      <w:ind w:left="4320"/>
    </w:pPr>
  </w:style>
  <w:style w:type="character" w:customStyle="1" w:styleId="SignatureChar">
    <w:name w:val="Signature Char"/>
    <w:link w:val="Signature"/>
    <w:uiPriority w:val="99"/>
    <w:semiHidden/>
    <w:rsid w:val="003E0A1B"/>
    <w:rPr>
      <w:rFonts w:ascii="Arial" w:hAnsi="Arial" w:cs="Arial"/>
    </w:rPr>
  </w:style>
  <w:style w:type="paragraph" w:styleId="Subtitle">
    <w:name w:val="Subtitle"/>
    <w:basedOn w:val="Normal"/>
    <w:next w:val="Normal"/>
    <w:link w:val="SubtitleChar"/>
    <w:uiPriority w:val="11"/>
    <w:qFormat/>
    <w:rsid w:val="003E0A1B"/>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3E0A1B"/>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3E0A1B"/>
    <w:pPr>
      <w:ind w:left="200" w:hanging="200"/>
    </w:pPr>
  </w:style>
  <w:style w:type="paragraph" w:styleId="TableofFigures">
    <w:name w:val="table of figures"/>
    <w:basedOn w:val="Normal"/>
    <w:next w:val="Normal"/>
    <w:uiPriority w:val="99"/>
    <w:semiHidden/>
    <w:unhideWhenUsed/>
    <w:rsid w:val="003E0A1B"/>
  </w:style>
  <w:style w:type="paragraph" w:styleId="Title">
    <w:name w:val="Title"/>
    <w:basedOn w:val="Normal"/>
    <w:next w:val="Normal"/>
    <w:link w:val="TitleChar"/>
    <w:uiPriority w:val="10"/>
    <w:qFormat/>
    <w:rsid w:val="003E0A1B"/>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3E0A1B"/>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3E0A1B"/>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3E0A1B"/>
  </w:style>
  <w:style w:type="paragraph" w:styleId="TOC2">
    <w:name w:val="toc 2"/>
    <w:basedOn w:val="Normal"/>
    <w:next w:val="Normal"/>
    <w:uiPriority w:val="39"/>
    <w:semiHidden/>
    <w:unhideWhenUsed/>
    <w:rsid w:val="003E0A1B"/>
    <w:pPr>
      <w:ind w:left="200"/>
    </w:pPr>
  </w:style>
  <w:style w:type="paragraph" w:styleId="TOC3">
    <w:name w:val="toc 3"/>
    <w:basedOn w:val="Normal"/>
    <w:next w:val="Normal"/>
    <w:uiPriority w:val="39"/>
    <w:semiHidden/>
    <w:unhideWhenUsed/>
    <w:rsid w:val="003E0A1B"/>
    <w:pPr>
      <w:ind w:left="400"/>
    </w:pPr>
  </w:style>
  <w:style w:type="paragraph" w:styleId="TOC4">
    <w:name w:val="toc 4"/>
    <w:basedOn w:val="Normal"/>
    <w:next w:val="Normal"/>
    <w:uiPriority w:val="39"/>
    <w:semiHidden/>
    <w:unhideWhenUsed/>
    <w:rsid w:val="003E0A1B"/>
    <w:pPr>
      <w:ind w:left="600"/>
    </w:pPr>
  </w:style>
  <w:style w:type="paragraph" w:styleId="TOC5">
    <w:name w:val="toc 5"/>
    <w:basedOn w:val="Normal"/>
    <w:next w:val="Normal"/>
    <w:uiPriority w:val="39"/>
    <w:semiHidden/>
    <w:unhideWhenUsed/>
    <w:rsid w:val="003E0A1B"/>
    <w:pPr>
      <w:ind w:left="800"/>
    </w:pPr>
  </w:style>
  <w:style w:type="paragraph" w:styleId="TOC6">
    <w:name w:val="toc 6"/>
    <w:basedOn w:val="Normal"/>
    <w:next w:val="Normal"/>
    <w:uiPriority w:val="39"/>
    <w:semiHidden/>
    <w:unhideWhenUsed/>
    <w:rsid w:val="003E0A1B"/>
    <w:pPr>
      <w:ind w:left="1000"/>
    </w:pPr>
  </w:style>
  <w:style w:type="paragraph" w:styleId="TOC7">
    <w:name w:val="toc 7"/>
    <w:basedOn w:val="Normal"/>
    <w:next w:val="Normal"/>
    <w:uiPriority w:val="39"/>
    <w:semiHidden/>
    <w:unhideWhenUsed/>
    <w:rsid w:val="003E0A1B"/>
    <w:pPr>
      <w:ind w:left="1200"/>
    </w:pPr>
  </w:style>
  <w:style w:type="paragraph" w:styleId="TOC8">
    <w:name w:val="toc 8"/>
    <w:basedOn w:val="Normal"/>
    <w:next w:val="Normal"/>
    <w:uiPriority w:val="39"/>
    <w:semiHidden/>
    <w:unhideWhenUsed/>
    <w:rsid w:val="003E0A1B"/>
    <w:pPr>
      <w:ind w:left="1400"/>
    </w:pPr>
  </w:style>
  <w:style w:type="paragraph" w:styleId="TOC9">
    <w:name w:val="toc 9"/>
    <w:basedOn w:val="Normal"/>
    <w:next w:val="Normal"/>
    <w:uiPriority w:val="39"/>
    <w:semiHidden/>
    <w:unhideWhenUsed/>
    <w:rsid w:val="003E0A1B"/>
    <w:pPr>
      <w:ind w:left="1600"/>
    </w:pPr>
  </w:style>
  <w:style w:type="paragraph" w:styleId="TOCHeading">
    <w:name w:val="TOC Heading"/>
    <w:basedOn w:val="Heading1"/>
    <w:next w:val="Normal"/>
    <w:uiPriority w:val="39"/>
    <w:semiHidden/>
    <w:unhideWhenUsed/>
    <w:qFormat/>
    <w:rsid w:val="003E0A1B"/>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512277">
      <w:bodyDiv w:val="1"/>
      <w:marLeft w:val="0"/>
      <w:marRight w:val="0"/>
      <w:marTop w:val="0"/>
      <w:marBottom w:val="0"/>
      <w:divBdr>
        <w:top w:val="none" w:sz="0" w:space="0" w:color="auto"/>
        <w:left w:val="none" w:sz="0" w:space="0" w:color="auto"/>
        <w:bottom w:val="none" w:sz="0" w:space="0" w:color="auto"/>
        <w:right w:val="none" w:sz="0" w:space="0" w:color="auto"/>
      </w:divBdr>
    </w:div>
    <w:div w:id="168042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FAA082-6682-4C35-ACAA-3E64CB316255}">
  <ds:schemaRefs>
    <ds:schemaRef ds:uri="http://schemas.microsoft.com/office/2006/metadata/longProperties"/>
  </ds:schemaRefs>
</ds:datastoreItem>
</file>

<file path=customXml/itemProps2.xml><?xml version="1.0" encoding="utf-8"?>
<ds:datastoreItem xmlns:ds="http://schemas.openxmlformats.org/officeDocument/2006/customXml" ds:itemID="{B2DF2DAD-194E-42C0-80A0-89FA02E06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AFA2D-2B24-4823-94D0-EF483DBBEAC9}">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175832a0-dacc-4945-ab2c-d9459f611efb"/>
    <ds:schemaRef ds:uri="http://www.w3.org/XML/1998/namespace"/>
    <ds:schemaRef ds:uri="http://purl.org/dc/elements/1.1/"/>
    <ds:schemaRef ds:uri="aec59467-f985-499e-9631-d7f3d108a13c"/>
  </ds:schemaRefs>
</ds:datastoreItem>
</file>

<file path=customXml/itemProps4.xml><?xml version="1.0" encoding="utf-8"?>
<ds:datastoreItem xmlns:ds="http://schemas.openxmlformats.org/officeDocument/2006/customXml" ds:itemID="{79C49755-85FA-4C99-96B9-E82CD27CEF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2256</Words>
  <Characters>12931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SECTION 265619 - LED EXTERIOR LIGHTING</vt:lpstr>
    </vt:vector>
  </TitlesOfParts>
  <Company/>
  <LinksUpToDate>false</LinksUpToDate>
  <CharactersWithSpaces>15157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265619 - LED EXTERIOR LIGHTING</dc:title>
  <dc:subject>LED EXTERIOR LIGHTING</dc:subject>
  <dc:creator>ARCOM, Inc.</dc:creator>
  <cp:keywords>BAS-12345-MS80</cp:keywords>
  <cp:lastModifiedBy>Frazine Susan</cp:lastModifiedBy>
  <cp:revision>14</cp:revision>
  <dcterms:created xsi:type="dcterms:W3CDTF">2018-04-25T17:01:00Z</dcterms:created>
  <dcterms:modified xsi:type="dcterms:W3CDTF">2022-06-29T15:40:00Z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34000.0000000000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